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E6EC0" w:rsidRPr="007E6EC0" w:rsidRDefault="007E6EC0" w:rsidP="007E6EC0">
      <w:pPr>
        <w:spacing w:line="360" w:lineRule="auto"/>
        <w:jc w:val="center"/>
        <w:textAlignment w:val="baseline"/>
        <w:rPr>
          <w:rFonts w:ascii="Arial" w:hAnsi="Arial"/>
          <w:szCs w:val="24"/>
          <w:lang w:eastAsia="lt-LT"/>
        </w:rPr>
      </w:pPr>
      <w:r w:rsidRPr="007E6EC0">
        <w:rPr>
          <w:rFonts w:ascii="Arial" w:hAnsi="Arial"/>
          <w:szCs w:val="24"/>
          <w:lang w:eastAsia="lt-LT"/>
        </w:rPr>
        <w:t xml:space="preserve">PRIENŲ R. JIEZNO GIMNAZIJOS </w:t>
      </w:r>
    </w:p>
    <w:p w:rsidR="00DD6E7A" w:rsidRDefault="00A663C1" w:rsidP="007E6EC0">
      <w:pPr>
        <w:spacing w:line="360" w:lineRule="auto"/>
        <w:jc w:val="center"/>
        <w:textAlignment w:val="baseline"/>
        <w:rPr>
          <w:rFonts w:ascii="Arial" w:hAnsi="Arial"/>
          <w:b/>
          <w:szCs w:val="24"/>
          <w:lang w:eastAsia="lt-LT"/>
        </w:rPr>
      </w:pPr>
      <w:r>
        <w:rPr>
          <w:rFonts w:ascii="Arial" w:hAnsi="Arial"/>
          <w:b/>
          <w:szCs w:val="24"/>
          <w:lang w:eastAsia="lt-LT"/>
        </w:rPr>
        <w:t>MET</w:t>
      </w:r>
      <w:r w:rsidR="00A64093">
        <w:rPr>
          <w:rFonts w:ascii="Arial" w:hAnsi="Arial"/>
          <w:b/>
          <w:szCs w:val="24"/>
          <w:lang w:eastAsia="lt-LT"/>
        </w:rPr>
        <w:t>INĖ</w:t>
      </w:r>
      <w:r>
        <w:rPr>
          <w:rFonts w:ascii="Arial" w:hAnsi="Arial"/>
          <w:b/>
          <w:szCs w:val="24"/>
          <w:lang w:eastAsia="lt-LT"/>
        </w:rPr>
        <w:t xml:space="preserve"> VEIKLOS ATASKAITA</w:t>
      </w:r>
    </w:p>
    <w:p w:rsidR="00DD6E7A" w:rsidRDefault="00DD6E7A">
      <w:pPr>
        <w:rPr>
          <w:rFonts w:ascii="Arial" w:hAnsi="Arial"/>
          <w:lang w:eastAsia="lt-LT"/>
        </w:rPr>
      </w:pPr>
    </w:p>
    <w:p w:rsidR="007E6EC0" w:rsidRDefault="007E6EC0">
      <w:pPr>
        <w:jc w:val="center"/>
        <w:rPr>
          <w:rFonts w:ascii="Arial" w:hAnsi="Arial"/>
          <w:b/>
          <w:szCs w:val="24"/>
          <w:lang w:eastAsia="lt-LT"/>
        </w:rPr>
      </w:pPr>
      <w:r>
        <w:rPr>
          <w:rFonts w:ascii="Arial" w:hAnsi="Arial"/>
          <w:b/>
          <w:szCs w:val="24"/>
          <w:lang w:eastAsia="lt-LT"/>
        </w:rPr>
        <w:t>VADOVO PRANEŠIMAS</w:t>
      </w:r>
    </w:p>
    <w:p w:rsidR="00E36FE2" w:rsidRDefault="00E36FE2">
      <w:pPr>
        <w:jc w:val="center"/>
        <w:rPr>
          <w:rFonts w:ascii="Arial" w:hAnsi="Arial"/>
          <w:b/>
          <w:szCs w:val="24"/>
          <w:lang w:eastAsia="lt-LT"/>
        </w:rPr>
      </w:pPr>
    </w:p>
    <w:p w:rsidR="00E36FE2" w:rsidRDefault="00E36FE2">
      <w:pPr>
        <w:jc w:val="center"/>
        <w:rPr>
          <w:rFonts w:ascii="Arial" w:hAnsi="Arial"/>
          <w:b/>
          <w:szCs w:val="24"/>
          <w:lang w:eastAsia="lt-LT"/>
        </w:rPr>
      </w:pPr>
    </w:p>
    <w:p w:rsidR="00E36FE2" w:rsidRPr="00E36FE2" w:rsidRDefault="00E36FE2" w:rsidP="00E36FE2">
      <w:pPr>
        <w:ind w:firstLine="601"/>
        <w:jc w:val="both"/>
        <w:textAlignment w:val="baseline"/>
        <w:rPr>
          <w:rFonts w:ascii="Arial" w:hAnsi="Arial" w:cs="Arial"/>
          <w:color w:val="FF0000"/>
          <w:szCs w:val="24"/>
          <w:lang w:eastAsia="lt-LT"/>
        </w:rPr>
      </w:pPr>
      <w:r w:rsidRPr="00E36FE2">
        <w:rPr>
          <w:rFonts w:ascii="Arial" w:hAnsi="Arial" w:cs="Arial"/>
          <w:szCs w:val="24"/>
          <w:lang w:eastAsia="lt-LT"/>
        </w:rPr>
        <w:t xml:space="preserve">Jiezno gimnazija (toliau – Gimnazija) 2022–2023 mokslo metus pradėjo turėdama 228 ugdytinius. 2022 m. gruodžio 31 d. duomenimis, ugdytinių skaičius šiek tiek pasikeitė: 184 mokinys (12 klasių komplektų), 17 priešmokyklinio ugdymo grupės vaikų (1 mišri priešmokyklinio ugdymo grupė),  ir 28 Ikimokyklinio ugdymo skyriaus (toliau – Skyrius) ugdytiniai (2 grupės). Treti metai Gimnazijoje ugdytinių skaičius nesumažėjo (paveikslėlyje pateikiamas kasmetinis ugdytinių skaičius gruodžio 31 d. duomenimis):   </w:t>
      </w:r>
    </w:p>
    <w:p w:rsidR="00E36FE2" w:rsidRPr="00E36FE2" w:rsidRDefault="00E36FE2" w:rsidP="00E36FE2">
      <w:pPr>
        <w:overflowPunct w:val="0"/>
        <w:jc w:val="both"/>
        <w:textAlignment w:val="baseline"/>
        <w:rPr>
          <w:rFonts w:ascii="Arial" w:hAnsi="Arial" w:cs="Arial"/>
          <w:szCs w:val="24"/>
        </w:rPr>
      </w:pPr>
    </w:p>
    <w:p w:rsidR="00E36FE2" w:rsidRPr="00E36FE2" w:rsidRDefault="00E36FE2" w:rsidP="00E36FE2">
      <w:pPr>
        <w:overflowPunct w:val="0"/>
        <w:jc w:val="both"/>
        <w:textAlignment w:val="baseline"/>
        <w:rPr>
          <w:rFonts w:ascii="Arial" w:hAnsi="Arial" w:cs="Arial"/>
          <w:szCs w:val="24"/>
        </w:rPr>
      </w:pPr>
      <w:r w:rsidRPr="00E36FE2">
        <w:rPr>
          <w:rFonts w:ascii="Arial" w:hAnsi="Arial" w:cs="Arial"/>
          <w:noProof/>
          <w:szCs w:val="24"/>
          <w:shd w:val="clear" w:color="auto" w:fill="D9D9D9" w:themeFill="background1" w:themeFillShade="D9"/>
          <w:lang w:eastAsia="lt-LT"/>
        </w:rPr>
        <w:drawing>
          <wp:inline distT="0" distB="0" distL="0" distR="0" wp14:anchorId="57C48987" wp14:editId="29DCD769">
            <wp:extent cx="5966460" cy="2825262"/>
            <wp:effectExtent l="0" t="0" r="0" b="0"/>
            <wp:docPr id="2" name="Diagrama 2"/>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E36FE2" w:rsidRPr="00E36FE2" w:rsidRDefault="00E36FE2" w:rsidP="00E36FE2">
      <w:pPr>
        <w:overflowPunct w:val="0"/>
        <w:ind w:firstLine="601"/>
        <w:jc w:val="both"/>
        <w:textAlignment w:val="baseline"/>
        <w:rPr>
          <w:rFonts w:ascii="Arial" w:hAnsi="Arial" w:cs="Arial"/>
          <w:szCs w:val="24"/>
        </w:rPr>
      </w:pPr>
    </w:p>
    <w:sdt>
      <w:sdtPr>
        <w:rPr>
          <w:rFonts w:ascii="Arial" w:hAnsi="Arial" w:cs="Arial"/>
          <w:i/>
          <w:szCs w:val="24"/>
        </w:rPr>
        <w:tag w:val="goog_rdk_543"/>
        <w:id w:val="-2031102945"/>
      </w:sdtPr>
      <w:sdtContent>
        <w:p w:rsidR="00E36FE2" w:rsidRPr="00E36FE2" w:rsidRDefault="00E36FE2" w:rsidP="00E36FE2">
          <w:pPr>
            <w:spacing w:line="360" w:lineRule="auto"/>
            <w:ind w:firstLine="720"/>
            <w:jc w:val="center"/>
            <w:rPr>
              <w:rFonts w:ascii="Arial" w:hAnsi="Arial" w:cs="Arial"/>
              <w:i/>
              <w:szCs w:val="24"/>
            </w:rPr>
          </w:pPr>
          <w:sdt>
            <w:sdtPr>
              <w:rPr>
                <w:rFonts w:ascii="Arial" w:hAnsi="Arial" w:cs="Arial"/>
                <w:szCs w:val="24"/>
              </w:rPr>
              <w:tag w:val="goog_rdk_33"/>
              <w:id w:val="-946936079"/>
            </w:sdtPr>
            <w:sdtContent>
              <w:r w:rsidRPr="00E36FE2">
                <w:rPr>
                  <w:rFonts w:ascii="Arial" w:hAnsi="Arial" w:cs="Arial"/>
                  <w:i/>
                  <w:szCs w:val="24"/>
                </w:rPr>
                <w:t>1 pav.</w:t>
              </w:r>
              <w:r w:rsidRPr="00E36FE2">
                <w:rPr>
                  <w:rFonts w:ascii="Arial" w:hAnsi="Arial" w:cs="Arial"/>
                  <w:szCs w:val="24"/>
                </w:rPr>
                <w:t xml:space="preserve"> Jiezno gimnazijos ugdytinių skaičiaus palyginimas pagal metus</w:t>
              </w:r>
            </w:sdtContent>
          </w:sdt>
        </w:p>
      </w:sdtContent>
    </w:sdt>
    <w:p w:rsidR="00E36FE2" w:rsidRPr="00E36FE2" w:rsidRDefault="00E36FE2" w:rsidP="00E36FE2">
      <w:pPr>
        <w:ind w:firstLine="601"/>
        <w:jc w:val="both"/>
        <w:textAlignment w:val="baseline"/>
        <w:rPr>
          <w:rFonts w:ascii="Arial" w:hAnsi="Arial" w:cs="Arial"/>
          <w:szCs w:val="24"/>
          <w:lang w:eastAsia="lt-LT"/>
        </w:rPr>
      </w:pPr>
    </w:p>
    <w:p w:rsidR="00E36FE2" w:rsidRDefault="00E36FE2" w:rsidP="00E36FE2">
      <w:pPr>
        <w:ind w:firstLine="601"/>
        <w:jc w:val="both"/>
        <w:textAlignment w:val="baseline"/>
        <w:rPr>
          <w:rFonts w:ascii="Arial" w:hAnsi="Arial" w:cs="Arial"/>
          <w:szCs w:val="24"/>
        </w:rPr>
      </w:pPr>
      <w:r w:rsidRPr="00E36FE2">
        <w:rPr>
          <w:rFonts w:ascii="Arial" w:hAnsi="Arial" w:cs="Arial"/>
          <w:szCs w:val="24"/>
          <w:lang w:eastAsia="lt-LT"/>
        </w:rPr>
        <w:t>Nemažai daliai ugdytinių (47,28 proc.) skiriamas nemokamas maitinimas (skirta 87). Nemažėja mokinių, turinčių specialiųjų ugdymosi poreikių (2022–2023 m. m. – 11,41 proc.; 2021–2022 m. m. šie mokiniai sudarė 11,56 proc.):</w:t>
      </w:r>
      <w:r w:rsidRPr="00E36FE2">
        <w:rPr>
          <w:rFonts w:ascii="Arial" w:hAnsi="Arial" w:cs="Arial"/>
          <w:color w:val="FF0000"/>
          <w:szCs w:val="24"/>
          <w:lang w:eastAsia="lt-LT"/>
        </w:rPr>
        <w:t xml:space="preserve"> </w:t>
      </w:r>
      <w:r w:rsidRPr="00E36FE2">
        <w:rPr>
          <w:rFonts w:ascii="Arial" w:hAnsi="Arial" w:cs="Arial"/>
          <w:szCs w:val="24"/>
          <w:lang w:eastAsia="lt-LT"/>
        </w:rPr>
        <w:t>pagal pritaikytas programas gimnazijoje mokosi 16 mokinių, pagal individualizuotas programas – 5 mokiniai. Lyginant su ankstesniais mokslo metais, šiek tiek sumažėjo pavežamų mokinių skaičius – 75 (2021 m. buvo pavežami 82 ugdytiniai; 2020 m. – 83 ugdytiniai). Gimnazijoje veikia 1 pailgintos mokymosi dienos grupė (ją lanko 30 pradinių klasių mokinių).</w:t>
      </w:r>
      <w:r w:rsidRPr="00E36FE2">
        <w:rPr>
          <w:rFonts w:ascii="Arial" w:hAnsi="Arial" w:cs="Arial"/>
          <w:color w:val="FF0000"/>
          <w:szCs w:val="24"/>
          <w:lang w:eastAsia="lt-LT"/>
        </w:rPr>
        <w:t xml:space="preserve"> </w:t>
      </w:r>
      <w:r w:rsidRPr="00E36FE2">
        <w:rPr>
          <w:rFonts w:ascii="Arial" w:hAnsi="Arial" w:cs="Arial"/>
          <w:szCs w:val="24"/>
          <w:lang w:eastAsia="lt-LT"/>
        </w:rPr>
        <w:t>Daugiau mokinių grupę lanko penktadieniais, kuomet nėra galimybės lankyti Dienos centro Prienų rajono Jiezno paramos šeimai centre.</w:t>
      </w:r>
      <w:r w:rsidRPr="00E36FE2">
        <w:rPr>
          <w:rFonts w:ascii="Arial" w:hAnsi="Arial" w:cs="Arial"/>
          <w:color w:val="FF0000"/>
          <w:szCs w:val="24"/>
          <w:lang w:eastAsia="lt-LT"/>
        </w:rPr>
        <w:t xml:space="preserve"> </w:t>
      </w:r>
      <w:r w:rsidRPr="00E36FE2">
        <w:rPr>
          <w:rFonts w:ascii="Arial" w:hAnsi="Arial" w:cs="Arial"/>
          <w:szCs w:val="24"/>
          <w:lang w:eastAsia="lt-LT"/>
        </w:rPr>
        <w:t>Dirba 54 darbuotojai (1 mažiau nei prieš metus), iš kurių</w:t>
      </w:r>
      <w:r w:rsidRPr="00E36FE2">
        <w:rPr>
          <w:rFonts w:ascii="Arial" w:hAnsi="Arial" w:cs="Arial"/>
          <w:color w:val="FF0000"/>
          <w:szCs w:val="24"/>
          <w:lang w:eastAsia="lt-LT"/>
        </w:rPr>
        <w:t xml:space="preserve"> </w:t>
      </w:r>
      <w:r w:rsidRPr="00E36FE2">
        <w:rPr>
          <w:rFonts w:ascii="Arial" w:hAnsi="Arial" w:cs="Arial"/>
          <w:szCs w:val="24"/>
          <w:lang w:eastAsia="lt-LT"/>
        </w:rPr>
        <w:t>29 mokytojai, 5</w:t>
      </w:r>
      <w:r w:rsidRPr="00E36FE2">
        <w:rPr>
          <w:rFonts w:ascii="Arial" w:hAnsi="Arial" w:cs="Arial"/>
          <w:color w:val="FF0000"/>
          <w:szCs w:val="24"/>
          <w:lang w:eastAsia="lt-LT"/>
        </w:rPr>
        <w:t xml:space="preserve"> </w:t>
      </w:r>
      <w:r w:rsidRPr="00E36FE2">
        <w:rPr>
          <w:rFonts w:ascii="Arial" w:hAnsi="Arial" w:cs="Arial"/>
          <w:szCs w:val="24"/>
          <w:lang w:eastAsia="lt-LT"/>
        </w:rPr>
        <w:t xml:space="preserve">pagalbos mokiniui specialistai, bibliotekininkė, 3 administracijos vadovai, vyr. buhalterė bei 15 aptarnaujančio personalo darbuotojų. Gimnazija iš viso turi 54,56 etato (vidutiniškai po 1,01 etato vienam darbuotojui): </w:t>
      </w:r>
      <w:r w:rsidRPr="00E36FE2">
        <w:rPr>
          <w:rFonts w:ascii="Arial" w:hAnsi="Arial" w:cs="Arial"/>
          <w:szCs w:val="24"/>
        </w:rPr>
        <w:t xml:space="preserve">ikimokyklinio, priešmokyklinio, bendrojo ir meninio ugdymo mokytojų </w:t>
      </w:r>
      <w:r w:rsidRPr="00E36FE2">
        <w:rPr>
          <w:rFonts w:ascii="Arial" w:hAnsi="Arial" w:cs="Arial"/>
          <w:szCs w:val="24"/>
          <w:lang w:eastAsia="lt-LT"/>
        </w:rPr>
        <w:t>apskaičiuota 26,71 etato</w:t>
      </w:r>
      <w:r w:rsidRPr="00E36FE2">
        <w:rPr>
          <w:rFonts w:ascii="Arial" w:hAnsi="Arial" w:cs="Arial"/>
          <w:szCs w:val="24"/>
        </w:rPr>
        <w:t xml:space="preserve">; ugdymo procesui organizuoti ir valdyti – 2 etatai; švietimo pagalbai teikti – 6,9 etato ir kitų pareigybių – 18,95 etato.  </w:t>
      </w:r>
    </w:p>
    <w:p w:rsidR="003D5B17" w:rsidRPr="003D5B17" w:rsidRDefault="003D5B17" w:rsidP="003D5B17">
      <w:pPr>
        <w:widowControl w:val="0"/>
        <w:ind w:firstLine="601"/>
        <w:jc w:val="both"/>
        <w:textAlignment w:val="baseline"/>
        <w:rPr>
          <w:rFonts w:ascii="Arial" w:hAnsi="Arial"/>
          <w:b/>
          <w:i/>
          <w:szCs w:val="24"/>
          <w:lang w:eastAsia="lt-LT"/>
        </w:rPr>
      </w:pPr>
      <w:r w:rsidRPr="003D5B17">
        <w:rPr>
          <w:rFonts w:ascii="Arial" w:hAnsi="Arial"/>
          <w:b/>
          <w:i/>
          <w:szCs w:val="24"/>
          <w:lang w:eastAsia="lt-LT"/>
        </w:rPr>
        <w:t>Svarbiausi Jiezno gimnazijos 202</w:t>
      </w:r>
      <w:r w:rsidRPr="003D5B17">
        <w:rPr>
          <w:rFonts w:ascii="Arial" w:hAnsi="Arial"/>
          <w:b/>
          <w:i/>
          <w:szCs w:val="24"/>
          <w:lang w:eastAsia="lt-LT"/>
        </w:rPr>
        <w:t>2</w:t>
      </w:r>
      <w:r w:rsidRPr="003D5B17">
        <w:rPr>
          <w:rFonts w:ascii="Arial" w:hAnsi="Arial"/>
          <w:b/>
          <w:i/>
          <w:szCs w:val="24"/>
          <w:lang w:eastAsia="lt-LT"/>
        </w:rPr>
        <w:t xml:space="preserve"> m. pasiekimai  </w:t>
      </w:r>
    </w:p>
    <w:p w:rsidR="003D5B17" w:rsidRPr="00E36FE2" w:rsidRDefault="003D5B17" w:rsidP="003D5B17">
      <w:pPr>
        <w:pStyle w:val="Sraopastraipa"/>
        <w:numPr>
          <w:ilvl w:val="0"/>
          <w:numId w:val="4"/>
        </w:numPr>
        <w:tabs>
          <w:tab w:val="left" w:pos="462"/>
          <w:tab w:val="left" w:pos="603"/>
          <w:tab w:val="left" w:pos="745"/>
          <w:tab w:val="left" w:pos="887"/>
        </w:tabs>
        <w:ind w:left="36" w:firstLine="567"/>
        <w:jc w:val="both"/>
        <w:rPr>
          <w:rFonts w:ascii="Arial" w:hAnsi="Arial" w:cs="Arial"/>
          <w:szCs w:val="24"/>
          <w:lang w:eastAsia="lt-LT"/>
        </w:rPr>
      </w:pPr>
      <w:r w:rsidRPr="00E36FE2">
        <w:rPr>
          <w:rStyle w:val="normaltextrun"/>
          <w:rFonts w:ascii="Arial" w:eastAsiaTheme="minorEastAsia" w:hAnsi="Arial" w:cs="Arial"/>
          <w:szCs w:val="24"/>
          <w:shd w:val="clear" w:color="auto" w:fill="FFFFFF"/>
        </w:rPr>
        <w:t>Individualią pažangą 2022 m. padarė</w:t>
      </w:r>
      <w:r w:rsidRPr="00E36FE2">
        <w:rPr>
          <w:rFonts w:ascii="Arial" w:hAnsi="Arial" w:cs="Arial"/>
          <w:szCs w:val="24"/>
        </w:rPr>
        <w:t xml:space="preserve"> 51,85 proc. </w:t>
      </w:r>
      <w:r w:rsidRPr="00E36FE2">
        <w:rPr>
          <w:rFonts w:ascii="Arial" w:hAnsi="Arial" w:cs="Arial"/>
          <w:szCs w:val="24"/>
          <w:lang w:eastAsia="lt-LT"/>
        </w:rPr>
        <w:t xml:space="preserve">Tai 20,5 proc. didesnė mokinių dalis nei 2020–2021 </w:t>
      </w:r>
      <w:proofErr w:type="spellStart"/>
      <w:r w:rsidRPr="00E36FE2">
        <w:rPr>
          <w:rFonts w:ascii="Arial" w:hAnsi="Arial" w:cs="Arial"/>
          <w:szCs w:val="24"/>
          <w:lang w:eastAsia="lt-LT"/>
        </w:rPr>
        <w:t>m.m</w:t>
      </w:r>
      <w:proofErr w:type="spellEnd"/>
      <w:r w:rsidRPr="00E36FE2">
        <w:rPr>
          <w:rFonts w:ascii="Arial" w:hAnsi="Arial" w:cs="Arial"/>
          <w:szCs w:val="24"/>
          <w:lang w:eastAsia="lt-LT"/>
        </w:rPr>
        <w:t xml:space="preserve">. </w:t>
      </w:r>
      <w:r w:rsidRPr="00E36FE2">
        <w:rPr>
          <w:rFonts w:ascii="Arial" w:hAnsi="Arial" w:cs="Arial"/>
          <w:szCs w:val="24"/>
        </w:rPr>
        <w:t>Mokinių, besimokančių pagrindiniu ir aukštesniuoju pasiekimų lygiu, dalis išaugo nuo 47,59 proc. iki 50 proc.</w:t>
      </w:r>
    </w:p>
    <w:p w:rsidR="003D5B17" w:rsidRPr="00E36FE2" w:rsidRDefault="003D5B17" w:rsidP="003D5B17">
      <w:pPr>
        <w:pStyle w:val="Sraopastraipa"/>
        <w:numPr>
          <w:ilvl w:val="0"/>
          <w:numId w:val="4"/>
        </w:numPr>
        <w:tabs>
          <w:tab w:val="left" w:pos="462"/>
          <w:tab w:val="left" w:pos="603"/>
          <w:tab w:val="left" w:pos="745"/>
          <w:tab w:val="left" w:pos="887"/>
        </w:tabs>
        <w:ind w:left="36" w:firstLine="564"/>
        <w:jc w:val="both"/>
        <w:textAlignment w:val="baseline"/>
        <w:rPr>
          <w:rFonts w:ascii="Arial" w:hAnsi="Arial" w:cs="Arial"/>
          <w:szCs w:val="24"/>
        </w:rPr>
      </w:pPr>
      <w:r w:rsidRPr="00E36FE2">
        <w:rPr>
          <w:rStyle w:val="normaltextrun"/>
          <w:rFonts w:ascii="Arial" w:eastAsiaTheme="minorEastAsia" w:hAnsi="Arial" w:cs="Arial"/>
          <w:szCs w:val="24"/>
          <w:shd w:val="clear" w:color="auto" w:fill="FFFFFF"/>
        </w:rPr>
        <w:lastRenderedPageBreak/>
        <w:t>Mokinių pasiekimai labiau atitinka bendrųjų programų reikalavimus:</w:t>
      </w:r>
      <w:r w:rsidRPr="00E36FE2">
        <w:rPr>
          <w:rStyle w:val="normaltextrun"/>
          <w:rFonts w:ascii="Arial" w:eastAsiaTheme="minorEastAsia" w:hAnsi="Arial" w:cs="Arial"/>
          <w:b/>
          <w:bCs/>
          <w:szCs w:val="24"/>
          <w:shd w:val="clear" w:color="auto" w:fill="FFFFFF"/>
        </w:rPr>
        <w:t xml:space="preserve"> </w:t>
      </w:r>
      <w:r w:rsidRPr="00E36FE2">
        <w:rPr>
          <w:rFonts w:ascii="Arial" w:hAnsi="Arial" w:cs="Arial"/>
          <w:szCs w:val="24"/>
          <w:lang w:eastAsia="lt-LT"/>
        </w:rPr>
        <w:t xml:space="preserve">ne žemesnį nei patenkinamą balą iš matematikos PUPP gavo 71,43 proc. (2022 m.) mokinių vietoj </w:t>
      </w:r>
      <w:r w:rsidRPr="00E36FE2">
        <w:rPr>
          <w:rFonts w:ascii="Arial" w:hAnsi="Arial" w:cs="Arial"/>
          <w:color w:val="000000"/>
          <w:szCs w:val="24"/>
          <w:lang w:eastAsia="lt-LT"/>
        </w:rPr>
        <w:t xml:space="preserve">53,33 proc. (2021 m.), antrus metus iš eilės </w:t>
      </w:r>
      <w:r w:rsidRPr="00E36FE2">
        <w:rPr>
          <w:rFonts w:ascii="Arial" w:hAnsi="Arial" w:cs="Arial"/>
          <w:szCs w:val="24"/>
          <w:lang w:eastAsia="lt-LT"/>
        </w:rPr>
        <w:t xml:space="preserve">ne žemesnį nei patenkinamą balą iš lietuvių kalbos PUPP gavo 100 proc. (2022 m.) mokinių vietoj 73,92 proc. (2019 m.). </w:t>
      </w:r>
      <w:r w:rsidRPr="00E36FE2">
        <w:rPr>
          <w:rStyle w:val="normaltextrun"/>
          <w:rFonts w:ascii="Arial" w:eastAsiaTheme="minorEastAsia" w:hAnsi="Arial" w:cs="Arial"/>
          <w:szCs w:val="24"/>
          <w:shd w:val="clear" w:color="auto" w:fill="FFFFFF"/>
        </w:rPr>
        <w:t xml:space="preserve">Geresni šių valstybinių brandos egzaminų (VBE) </w:t>
      </w:r>
      <w:r w:rsidRPr="00E36FE2">
        <w:rPr>
          <w:rFonts w:ascii="Arial" w:hAnsi="Arial" w:cs="Arial"/>
          <w:szCs w:val="24"/>
        </w:rPr>
        <w:t>įvertinimų vidurkiai: biologijos ir matematikos</w:t>
      </w:r>
      <w:r w:rsidRPr="00E36FE2">
        <w:rPr>
          <w:rStyle w:val="normaltextrun"/>
          <w:rFonts w:ascii="Arial" w:eastAsiaTheme="minorEastAsia" w:hAnsi="Arial" w:cs="Arial"/>
          <w:color w:val="FF0000"/>
          <w:szCs w:val="24"/>
          <w:shd w:val="clear" w:color="auto" w:fill="FFFFFF"/>
        </w:rPr>
        <w:t xml:space="preserve"> </w:t>
      </w:r>
      <w:r w:rsidRPr="00E36FE2">
        <w:rPr>
          <w:rFonts w:ascii="Arial" w:hAnsi="Arial" w:cs="Arial"/>
          <w:szCs w:val="24"/>
        </w:rPr>
        <w:t>VBE už savivaldybės bendrojo ugdymo mokyklų vidurkį,</w:t>
      </w:r>
      <w:r w:rsidRPr="00E36FE2">
        <w:rPr>
          <w:rStyle w:val="normaltextrun"/>
          <w:rFonts w:ascii="Arial" w:eastAsiaTheme="minorEastAsia" w:hAnsi="Arial" w:cs="Arial"/>
          <w:szCs w:val="24"/>
          <w:shd w:val="clear" w:color="auto" w:fill="FFFFFF"/>
        </w:rPr>
        <w:t xml:space="preserve"> </w:t>
      </w:r>
      <w:r w:rsidRPr="00E36FE2">
        <w:rPr>
          <w:rFonts w:ascii="Arial" w:hAnsi="Arial" w:cs="Arial"/>
          <w:szCs w:val="24"/>
        </w:rPr>
        <w:t>istorijos</w:t>
      </w:r>
      <w:r w:rsidRPr="00E36FE2">
        <w:rPr>
          <w:rStyle w:val="normaltextrun"/>
          <w:rFonts w:ascii="Arial" w:eastAsiaTheme="minorEastAsia" w:hAnsi="Arial" w:cs="Arial"/>
          <w:szCs w:val="24"/>
          <w:shd w:val="clear" w:color="auto" w:fill="FFFFFF"/>
        </w:rPr>
        <w:t xml:space="preserve"> – už </w:t>
      </w:r>
      <w:r w:rsidRPr="00E36FE2">
        <w:rPr>
          <w:rFonts w:ascii="Arial" w:hAnsi="Arial" w:cs="Arial"/>
          <w:szCs w:val="24"/>
        </w:rPr>
        <w:t xml:space="preserve">šalies bendrojo ugdymo mokyklų vidurkį, anglų kalbos ir geografijos VBE  – reikšmingai didesnis ir už savivaldybės, ir už šalies bendrojo ugdymo mokyklų vidurkį. </w:t>
      </w:r>
    </w:p>
    <w:p w:rsidR="003D5B17" w:rsidRPr="00E36FE2" w:rsidRDefault="003D5B17" w:rsidP="003D5B17">
      <w:pPr>
        <w:pStyle w:val="Sraopastraipa"/>
        <w:numPr>
          <w:ilvl w:val="0"/>
          <w:numId w:val="4"/>
        </w:numPr>
        <w:tabs>
          <w:tab w:val="left" w:pos="462"/>
          <w:tab w:val="left" w:pos="603"/>
          <w:tab w:val="left" w:pos="745"/>
          <w:tab w:val="left" w:pos="887"/>
        </w:tabs>
        <w:ind w:left="36" w:firstLine="564"/>
        <w:jc w:val="both"/>
        <w:textAlignment w:val="baseline"/>
        <w:rPr>
          <w:rFonts w:ascii="Arial" w:hAnsi="Arial" w:cs="Arial"/>
          <w:szCs w:val="24"/>
        </w:rPr>
      </w:pPr>
      <w:r w:rsidRPr="00E36FE2">
        <w:rPr>
          <w:rFonts w:ascii="Arial" w:hAnsi="Arial" w:cs="Arial"/>
          <w:szCs w:val="24"/>
        </w:rPr>
        <w:t xml:space="preserve">Siekiant gerinti mokinių pasiekimus ir tobulinti pamokos kokybę, ypatingas dėmesys skirtas mokinių asmeninės pažangos stebėsenai ir mokinių </w:t>
      </w:r>
      <w:proofErr w:type="spellStart"/>
      <w:r w:rsidRPr="00E36FE2">
        <w:rPr>
          <w:rFonts w:ascii="Arial" w:hAnsi="Arial" w:cs="Arial"/>
          <w:szCs w:val="24"/>
        </w:rPr>
        <w:t>patyriminiam</w:t>
      </w:r>
      <w:proofErr w:type="spellEnd"/>
      <w:r w:rsidRPr="00E36FE2">
        <w:rPr>
          <w:rFonts w:ascii="Arial" w:hAnsi="Arial" w:cs="Arial"/>
          <w:szCs w:val="24"/>
        </w:rPr>
        <w:t xml:space="preserve"> ugdymui diegti. Mokytojai lankėsi vieni kitų pamokose, sėmėsi gerosios patirties stebėdami ir aptardami kolegų veiklas, teikė grįžtamąjį ryšį. Kolegų pamokas 2020–2021 </w:t>
      </w:r>
      <w:proofErr w:type="spellStart"/>
      <w:r w:rsidRPr="00E36FE2">
        <w:rPr>
          <w:rFonts w:ascii="Arial" w:hAnsi="Arial" w:cs="Arial"/>
          <w:szCs w:val="24"/>
        </w:rPr>
        <w:t>m.m</w:t>
      </w:r>
      <w:proofErr w:type="spellEnd"/>
      <w:r w:rsidRPr="00E36FE2">
        <w:rPr>
          <w:rFonts w:ascii="Arial" w:hAnsi="Arial" w:cs="Arial"/>
          <w:szCs w:val="24"/>
        </w:rPr>
        <w:t xml:space="preserve">. stebėjo 43,75 proc. mokytojų, o 2021–2022 m. m.  - 96,43 proc. mokytojų. </w:t>
      </w:r>
    </w:p>
    <w:p w:rsidR="003D5B17" w:rsidRPr="00E36FE2" w:rsidRDefault="003D5B17" w:rsidP="003D5B17">
      <w:pPr>
        <w:pStyle w:val="Sraopastraipa"/>
        <w:numPr>
          <w:ilvl w:val="0"/>
          <w:numId w:val="4"/>
        </w:numPr>
        <w:tabs>
          <w:tab w:val="left" w:pos="462"/>
          <w:tab w:val="left" w:pos="603"/>
          <w:tab w:val="left" w:pos="745"/>
          <w:tab w:val="left" w:pos="887"/>
        </w:tabs>
        <w:ind w:left="36" w:firstLine="564"/>
        <w:jc w:val="both"/>
        <w:textAlignment w:val="baseline"/>
        <w:rPr>
          <w:rFonts w:ascii="Arial" w:hAnsi="Arial" w:cs="Arial"/>
          <w:szCs w:val="24"/>
        </w:rPr>
      </w:pPr>
      <w:r w:rsidRPr="00E36FE2">
        <w:rPr>
          <w:rFonts w:ascii="Arial" w:hAnsi="Arial" w:cs="Arial"/>
          <w:szCs w:val="24"/>
        </w:rPr>
        <w:t xml:space="preserve">Tęsiamas platesnis ir gilesnis STEAM dalykų (gamtos mokslų, technologijų, informacinių technologijų, inžinerijos, menų/dizaino, matematikos) ugdymas, STEAM komanda pagal pasirengtą veiksmų planą nuosekliai įgyvendina STEAM veiklas. Sėkmingas ir nuoseklus integruotų </w:t>
      </w:r>
      <w:proofErr w:type="spellStart"/>
      <w:r w:rsidRPr="00E36FE2">
        <w:rPr>
          <w:rFonts w:ascii="Arial" w:hAnsi="Arial" w:cs="Arial"/>
          <w:szCs w:val="24"/>
        </w:rPr>
        <w:t>patyriminių</w:t>
      </w:r>
      <w:proofErr w:type="spellEnd"/>
      <w:r w:rsidRPr="00E36FE2">
        <w:rPr>
          <w:rFonts w:ascii="Arial" w:hAnsi="Arial" w:cs="Arial"/>
          <w:szCs w:val="24"/>
        </w:rPr>
        <w:t xml:space="preserve"> projektinių veiklų organizavimas: moduliai „</w:t>
      </w:r>
      <w:proofErr w:type="spellStart"/>
      <w:r w:rsidRPr="00E36FE2">
        <w:rPr>
          <w:rFonts w:ascii="Arial" w:hAnsi="Arial" w:cs="Arial"/>
          <w:szCs w:val="24"/>
        </w:rPr>
        <w:t>Patyriminis</w:t>
      </w:r>
      <w:proofErr w:type="spellEnd"/>
      <w:r w:rsidRPr="00E36FE2">
        <w:rPr>
          <w:rFonts w:ascii="Arial" w:hAnsi="Arial" w:cs="Arial"/>
          <w:szCs w:val="24"/>
        </w:rPr>
        <w:t xml:space="preserve"> mokymasis“ 5-8, gimnazijos I-II klasėse, sukurta tradicija organizuoti STEAM konferenciją (tiriamieji ir projektiniai mokinių darbai, jų pristatymas). </w:t>
      </w:r>
    </w:p>
    <w:p w:rsidR="003B28AE" w:rsidRDefault="003B28AE" w:rsidP="00E36FE2">
      <w:pPr>
        <w:ind w:firstLine="601"/>
        <w:jc w:val="both"/>
        <w:textAlignment w:val="baseline"/>
        <w:rPr>
          <w:rFonts w:ascii="Arial" w:hAnsi="Arial" w:cs="Arial"/>
          <w:szCs w:val="24"/>
        </w:rPr>
      </w:pPr>
    </w:p>
    <w:p w:rsidR="003D5B17" w:rsidRDefault="003D5B17" w:rsidP="003D5B17">
      <w:pPr>
        <w:jc w:val="center"/>
        <w:rPr>
          <w:rFonts w:ascii="Arial" w:hAnsi="Arial"/>
          <w:b/>
          <w:szCs w:val="24"/>
          <w:lang w:eastAsia="lt-LT"/>
        </w:rPr>
      </w:pPr>
      <w:r>
        <w:rPr>
          <w:rFonts w:ascii="Arial" w:hAnsi="Arial"/>
          <w:b/>
          <w:szCs w:val="24"/>
          <w:lang w:eastAsia="lt-LT"/>
        </w:rPr>
        <w:t>STRATEGINIŲ VEIKLOS TIKSLŲ ĮGYVENDINIMAS</w:t>
      </w:r>
    </w:p>
    <w:p w:rsidR="003D5B17" w:rsidRDefault="003D5B17" w:rsidP="00E36FE2">
      <w:pPr>
        <w:ind w:firstLine="601"/>
        <w:jc w:val="both"/>
        <w:textAlignment w:val="baseline"/>
        <w:rPr>
          <w:rFonts w:ascii="Arial" w:hAnsi="Arial" w:cs="Arial"/>
          <w:szCs w:val="24"/>
        </w:rPr>
      </w:pPr>
    </w:p>
    <w:p w:rsidR="00E36FE2" w:rsidRPr="00E36FE2" w:rsidRDefault="00E36FE2" w:rsidP="00E36FE2">
      <w:pPr>
        <w:ind w:firstLine="603"/>
        <w:jc w:val="both"/>
        <w:rPr>
          <w:rFonts w:ascii="Arial" w:hAnsi="Arial" w:cs="Arial"/>
          <w:szCs w:val="24"/>
          <w:lang w:eastAsia="lt-LT"/>
        </w:rPr>
      </w:pPr>
      <w:r w:rsidRPr="00E36FE2">
        <w:rPr>
          <w:rFonts w:ascii="Arial" w:hAnsi="Arial" w:cs="Arial"/>
          <w:szCs w:val="24"/>
          <w:lang w:eastAsia="lt-LT"/>
        </w:rPr>
        <w:t xml:space="preserve">Prienų r. Jiezno gimnazijos 2022–2024 m. strateginis planas parengtas ir, suderinus su Prienų rajono </w:t>
      </w:r>
      <w:r w:rsidRPr="00E36FE2">
        <w:rPr>
          <w:rFonts w:ascii="Arial" w:hAnsi="Arial" w:cs="Arial"/>
          <w:szCs w:val="24"/>
        </w:rPr>
        <w:t xml:space="preserve">savivaldybės administracijos direktoriumi, patvirtintas 2022 m. gegužės 10 d. direktoriaus įsakymu Nr. (1.3.)-V1-103. Plane </w:t>
      </w:r>
      <w:r w:rsidRPr="00E36FE2">
        <w:rPr>
          <w:rFonts w:ascii="Arial" w:hAnsi="Arial" w:cs="Arial"/>
          <w:szCs w:val="24"/>
          <w:lang w:eastAsia="lt-LT"/>
        </w:rPr>
        <w:t>numatytos dvi strateginės kryptys (tikslai): 1. s</w:t>
      </w:r>
      <w:r w:rsidRPr="00E36FE2">
        <w:rPr>
          <w:rFonts w:ascii="Arial" w:hAnsi="Arial" w:cs="Arial"/>
          <w:szCs w:val="24"/>
        </w:rPr>
        <w:t xml:space="preserve">udaryti sąlygas kiekvieno mokinio pažangai augti, energingai ir sklandžiai atnaujinant ugdymo turinį, įsivertinimo bei stebėsenos sistemas; </w:t>
      </w:r>
      <w:r w:rsidRPr="00E36FE2">
        <w:rPr>
          <w:rFonts w:ascii="Arial" w:hAnsi="Arial" w:cs="Arial"/>
          <w:szCs w:val="24"/>
          <w:lang w:eastAsia="lt-LT"/>
        </w:rPr>
        <w:t>2. d</w:t>
      </w:r>
      <w:r w:rsidRPr="00E36FE2">
        <w:rPr>
          <w:rFonts w:ascii="Arial" w:hAnsi="Arial" w:cs="Arial"/>
          <w:szCs w:val="24"/>
        </w:rPr>
        <w:t xml:space="preserve">rąsinti kiekvieno bendruomenės nario įsitraukimą į </w:t>
      </w:r>
      <w:proofErr w:type="spellStart"/>
      <w:r w:rsidRPr="00E36FE2">
        <w:rPr>
          <w:rFonts w:ascii="Arial" w:hAnsi="Arial" w:cs="Arial"/>
          <w:szCs w:val="24"/>
        </w:rPr>
        <w:t>tinklaveiką</w:t>
      </w:r>
      <w:proofErr w:type="spellEnd"/>
      <w:r w:rsidRPr="00E36FE2">
        <w:rPr>
          <w:rFonts w:ascii="Arial" w:hAnsi="Arial" w:cs="Arial"/>
          <w:szCs w:val="24"/>
        </w:rPr>
        <w:t xml:space="preserve"> ir aplinkų </w:t>
      </w:r>
      <w:proofErr w:type="spellStart"/>
      <w:r w:rsidRPr="00E36FE2">
        <w:rPr>
          <w:rFonts w:ascii="Arial" w:hAnsi="Arial" w:cs="Arial"/>
          <w:szCs w:val="24"/>
        </w:rPr>
        <w:t>bendrakūrą</w:t>
      </w:r>
      <w:proofErr w:type="spellEnd"/>
      <w:r w:rsidRPr="00E36FE2">
        <w:rPr>
          <w:rFonts w:ascii="Arial" w:hAnsi="Arial" w:cs="Arial"/>
          <w:szCs w:val="24"/>
        </w:rPr>
        <w:t>, sistemingai modeliuojant bendruomeniškos veiklos praktiką.</w:t>
      </w:r>
      <w:r w:rsidRPr="00E36FE2">
        <w:rPr>
          <w:rFonts w:ascii="Arial" w:hAnsi="Arial" w:cs="Arial"/>
          <w:szCs w:val="24"/>
          <w:lang w:eastAsia="lt-LT"/>
        </w:rPr>
        <w:t xml:space="preserve"> Strategijos įgyvendinimo laikotarpio pažangos rodiklių vertinimui atlikti sudarytos darbo grupės, kurios pagal turimus duomenis (plačiojo įsivertinimo ataskaitas, giluminio vertinimo sričių išvadas, tėvų, mokinių klausimynų duomenis bei kitais būdais rinktus Gimnazijos bendruomenės nuomonę iliustruojančius </w:t>
      </w:r>
      <w:proofErr w:type="spellStart"/>
      <w:r w:rsidRPr="00E36FE2">
        <w:rPr>
          <w:rFonts w:ascii="Arial" w:hAnsi="Arial" w:cs="Arial"/>
          <w:szCs w:val="24"/>
          <w:lang w:eastAsia="lt-LT"/>
        </w:rPr>
        <w:t>įvertinimus</w:t>
      </w:r>
      <w:proofErr w:type="spellEnd"/>
      <w:r w:rsidRPr="00E36FE2">
        <w:rPr>
          <w:rFonts w:ascii="Arial" w:hAnsi="Arial" w:cs="Arial"/>
          <w:szCs w:val="24"/>
          <w:lang w:eastAsia="lt-LT"/>
        </w:rPr>
        <w:t xml:space="preserve">) 2023 m. sausio mėnesį atliko tarpinį rodiklių vertinimą, o apibendrintas išvadas pristatė 2023 m. sausio 17 d. Mokytojų tarybos posėdyje. </w:t>
      </w:r>
      <w:r w:rsidRPr="00E36FE2">
        <w:rPr>
          <w:rFonts w:ascii="Arial" w:hAnsi="Arial" w:cs="Arial"/>
          <w:szCs w:val="24"/>
        </w:rPr>
        <w:t xml:space="preserve">Per pirmus strateginio laikotarpio metus pavyko pasiekti 51,52 proc. (17 rodiklių) pažangos rodiklių planuotą pasiekimų lygmenį, 42,42 proc. – pasiekta  iš dalies, du rodikliai buvo įvertinti „nepasiekta“ (iš 33 pažangos rodiklių). </w:t>
      </w:r>
    </w:p>
    <w:p w:rsidR="003D5B17" w:rsidRDefault="00E36FE2" w:rsidP="003D5B17">
      <w:pPr>
        <w:ind w:firstLine="603"/>
        <w:jc w:val="both"/>
        <w:textAlignment w:val="baseline"/>
        <w:rPr>
          <w:rFonts w:ascii="Arial" w:hAnsi="Arial" w:cs="Arial"/>
          <w:szCs w:val="24"/>
        </w:rPr>
      </w:pPr>
      <w:r w:rsidRPr="00E36FE2">
        <w:rPr>
          <w:rFonts w:ascii="Arial" w:hAnsi="Arial" w:cs="Arial"/>
          <w:szCs w:val="24"/>
        </w:rPr>
        <w:t xml:space="preserve">Gimnazijos 2021–2022 </w:t>
      </w:r>
      <w:proofErr w:type="spellStart"/>
      <w:r w:rsidRPr="00E36FE2">
        <w:rPr>
          <w:rFonts w:ascii="Arial" w:hAnsi="Arial" w:cs="Arial"/>
          <w:szCs w:val="24"/>
        </w:rPr>
        <w:t>m.m</w:t>
      </w:r>
      <w:proofErr w:type="spellEnd"/>
      <w:r w:rsidRPr="00E36FE2">
        <w:rPr>
          <w:rFonts w:ascii="Arial" w:hAnsi="Arial" w:cs="Arial"/>
          <w:szCs w:val="24"/>
        </w:rPr>
        <w:t xml:space="preserve">. veiklos plane buvo užfiksuoti du metiniai veiklos tikslai: 1. tobulinti pamokos kokybę, stiprinant profesinį dialogą ir gebėjimą taikyti </w:t>
      </w:r>
      <w:proofErr w:type="spellStart"/>
      <w:r w:rsidRPr="00E36FE2">
        <w:rPr>
          <w:rFonts w:ascii="Arial" w:hAnsi="Arial" w:cs="Arial"/>
          <w:szCs w:val="24"/>
        </w:rPr>
        <w:t>patyriminio</w:t>
      </w:r>
      <w:proofErr w:type="spellEnd"/>
      <w:r w:rsidRPr="00E36FE2">
        <w:rPr>
          <w:rFonts w:ascii="Arial" w:hAnsi="Arial" w:cs="Arial"/>
          <w:szCs w:val="24"/>
        </w:rPr>
        <w:t xml:space="preserve"> ugdymo principus; 2. formuoti kiekvieno mokinio </w:t>
      </w:r>
      <w:proofErr w:type="spellStart"/>
      <w:r w:rsidRPr="00E36FE2">
        <w:rPr>
          <w:rFonts w:ascii="Arial" w:hAnsi="Arial" w:cs="Arial"/>
          <w:szCs w:val="24"/>
        </w:rPr>
        <w:t>savivaldaus</w:t>
      </w:r>
      <w:proofErr w:type="spellEnd"/>
      <w:r w:rsidRPr="00E36FE2">
        <w:rPr>
          <w:rFonts w:ascii="Arial" w:hAnsi="Arial" w:cs="Arial"/>
          <w:szCs w:val="24"/>
        </w:rPr>
        <w:t xml:space="preserve"> mokymosi įgūdžius, tobulinant ugdymą karjerai. </w:t>
      </w:r>
      <w:r w:rsidRPr="00E36FE2">
        <w:rPr>
          <w:rFonts w:ascii="Arial" w:hAnsi="Arial" w:cs="Arial"/>
          <w:szCs w:val="24"/>
          <w:lang w:eastAsia="lt-LT"/>
        </w:rPr>
        <w:t xml:space="preserve">Prienų r. Jiezno gimnazijos 2021–2022 mokslo metų veiklos plano išsami įgyvendinimo analizė pateikiama Prienų r. Jiezno gimnazijos 2022–2023 mokslo metų veiklos plano </w:t>
      </w:r>
      <w:r w:rsidR="003D5B17" w:rsidRPr="00E36FE2">
        <w:rPr>
          <w:rFonts w:ascii="Arial" w:hAnsi="Arial" w:cs="Arial"/>
          <w:szCs w:val="24"/>
          <w:lang w:eastAsia="lt-LT"/>
        </w:rPr>
        <w:t xml:space="preserve">7-19 psl. </w:t>
      </w:r>
      <w:r w:rsidRPr="00E36FE2">
        <w:rPr>
          <w:rFonts w:ascii="Arial" w:hAnsi="Arial" w:cs="Arial"/>
          <w:szCs w:val="24"/>
          <w:lang w:eastAsia="lt-LT"/>
        </w:rPr>
        <w:t>(</w:t>
      </w:r>
      <w:hyperlink r:id="rId12" w:history="1">
        <w:r w:rsidRPr="00E36FE2">
          <w:rPr>
            <w:rStyle w:val="Hipersaitas"/>
            <w:rFonts w:ascii="Arial" w:hAnsi="Arial" w:cs="Arial"/>
            <w:szCs w:val="24"/>
            <w:lang w:eastAsia="lt-LT"/>
          </w:rPr>
          <w:t>http://jieznogimnazija.lt/wp-content/uploads/2022/09/Veiklos-planas_2022_2023_galutinis.pdf</w:t>
        </w:r>
      </w:hyperlink>
      <w:r w:rsidRPr="00E36FE2">
        <w:rPr>
          <w:rFonts w:ascii="Arial" w:hAnsi="Arial" w:cs="Arial"/>
          <w:szCs w:val="24"/>
          <w:lang w:eastAsia="lt-LT"/>
        </w:rPr>
        <w:t xml:space="preserve">) </w:t>
      </w:r>
      <w:r w:rsidRPr="00E36FE2">
        <w:rPr>
          <w:rFonts w:ascii="Arial" w:hAnsi="Arial" w:cs="Arial"/>
          <w:szCs w:val="24"/>
        </w:rPr>
        <w:t xml:space="preserve">Suskaičiavus nuveiktus darbus, galima pasidžiaugti daugumos įgyvendintų priemonių sėkmingumu (žr. 2 pav.). </w:t>
      </w:r>
    </w:p>
    <w:p w:rsidR="003D5B17" w:rsidRDefault="003D5B17" w:rsidP="003D5B17">
      <w:pPr>
        <w:ind w:firstLine="603"/>
        <w:jc w:val="both"/>
        <w:textAlignment w:val="baseline"/>
        <w:rPr>
          <w:rFonts w:ascii="Arial" w:hAnsi="Arial" w:cs="Arial"/>
          <w:szCs w:val="24"/>
          <w:lang w:eastAsia="lt-LT"/>
        </w:rPr>
      </w:pPr>
      <w:r w:rsidRPr="00E36FE2">
        <w:rPr>
          <w:rFonts w:ascii="Arial" w:hAnsi="Arial" w:cs="Arial"/>
          <w:szCs w:val="24"/>
        </w:rPr>
        <w:t xml:space="preserve">Mokytojų tarybos nuomone, 2021–2022 </w:t>
      </w:r>
      <w:proofErr w:type="spellStart"/>
      <w:r w:rsidRPr="00E36FE2">
        <w:rPr>
          <w:rFonts w:ascii="Arial" w:hAnsi="Arial" w:cs="Arial"/>
          <w:szCs w:val="24"/>
        </w:rPr>
        <w:t>m.m</w:t>
      </w:r>
      <w:proofErr w:type="spellEnd"/>
      <w:r w:rsidRPr="00E36FE2">
        <w:rPr>
          <w:rFonts w:ascii="Arial" w:hAnsi="Arial" w:cs="Arial"/>
          <w:szCs w:val="24"/>
        </w:rPr>
        <w:t>. veiklos tikslų ir uždavinių įgyvendinimas vertinamas labai gerai.</w:t>
      </w:r>
      <w:r w:rsidRPr="003D5B17">
        <w:rPr>
          <w:rFonts w:ascii="Arial" w:hAnsi="Arial" w:cs="Arial"/>
          <w:szCs w:val="24"/>
          <w:lang w:eastAsia="lt-LT"/>
        </w:rPr>
        <w:t xml:space="preserve"> </w:t>
      </w:r>
    </w:p>
    <w:p w:rsidR="003D5B17" w:rsidRDefault="003D5B17" w:rsidP="003D5B17">
      <w:pPr>
        <w:ind w:firstLine="603"/>
        <w:jc w:val="both"/>
        <w:textAlignment w:val="baseline"/>
        <w:rPr>
          <w:rFonts w:ascii="Arial" w:hAnsi="Arial" w:cs="Arial"/>
          <w:szCs w:val="24"/>
        </w:rPr>
      </w:pPr>
      <w:r w:rsidRPr="00E36FE2">
        <w:rPr>
          <w:rFonts w:ascii="Arial" w:hAnsi="Arial" w:cs="Arial"/>
          <w:szCs w:val="24"/>
          <w:lang w:eastAsia="lt-LT"/>
        </w:rPr>
        <w:t>Prienų r. Jiezno gimnazijos 2022–2023 mokslo metų veiklos plane</w:t>
      </w:r>
      <w:r w:rsidRPr="00E36FE2">
        <w:rPr>
          <w:rFonts w:ascii="Arial" w:hAnsi="Arial" w:cs="Arial"/>
          <w:color w:val="FF0000"/>
          <w:szCs w:val="24"/>
          <w:lang w:eastAsia="lt-LT"/>
        </w:rPr>
        <w:t xml:space="preserve"> </w:t>
      </w:r>
      <w:r w:rsidRPr="00E36FE2">
        <w:rPr>
          <w:rFonts w:ascii="Arial" w:hAnsi="Arial" w:cs="Arial"/>
          <w:szCs w:val="24"/>
          <w:lang w:eastAsia="lt-LT"/>
        </w:rPr>
        <w:t>fiksuojami du Gimnazijos bendruomenės susitarimai dėl veiklos tikslų:</w:t>
      </w:r>
      <w:r w:rsidRPr="00E36FE2">
        <w:rPr>
          <w:rFonts w:ascii="Arial" w:hAnsi="Arial" w:cs="Arial"/>
          <w:color w:val="FF0000"/>
          <w:szCs w:val="24"/>
          <w:lang w:eastAsia="lt-LT"/>
        </w:rPr>
        <w:t xml:space="preserve"> </w:t>
      </w:r>
      <w:r w:rsidRPr="00E36FE2">
        <w:rPr>
          <w:rFonts w:ascii="Arial" w:hAnsi="Arial" w:cs="Arial"/>
          <w:szCs w:val="24"/>
        </w:rPr>
        <w:t>1.</w:t>
      </w:r>
      <w:r w:rsidRPr="00E36FE2">
        <w:rPr>
          <w:rFonts w:ascii="Arial" w:hAnsi="Arial" w:cs="Arial"/>
          <w:color w:val="FF0000"/>
          <w:szCs w:val="24"/>
        </w:rPr>
        <w:t xml:space="preserve"> </w:t>
      </w:r>
      <w:proofErr w:type="spellStart"/>
      <w:r w:rsidRPr="00E36FE2">
        <w:rPr>
          <w:rFonts w:ascii="Arial" w:hAnsi="Arial" w:cs="Arial"/>
          <w:szCs w:val="24"/>
        </w:rPr>
        <w:t>įveiklinti</w:t>
      </w:r>
      <w:proofErr w:type="spellEnd"/>
      <w:r w:rsidRPr="00E36FE2">
        <w:rPr>
          <w:rFonts w:ascii="Arial" w:hAnsi="Arial" w:cs="Arial"/>
          <w:szCs w:val="24"/>
        </w:rPr>
        <w:t xml:space="preserve"> pasiekimų gerinimo planavimo sistemą, garantuojančią savalaikį kiekvienam mokiniui kylančių mokymosi sunkumų atpažinimą ir efektyvių priemonių taikymą; 2. taikyti bendruomeniškos veiklos praktiką, generuojančią įsitraukimą į aplinkų </w:t>
      </w:r>
      <w:proofErr w:type="spellStart"/>
      <w:r w:rsidRPr="00E36FE2">
        <w:rPr>
          <w:rFonts w:ascii="Arial" w:hAnsi="Arial" w:cs="Arial"/>
          <w:szCs w:val="24"/>
        </w:rPr>
        <w:t>bendrakūrą</w:t>
      </w:r>
      <w:proofErr w:type="spellEnd"/>
      <w:r w:rsidRPr="00E36FE2">
        <w:rPr>
          <w:rFonts w:ascii="Arial" w:hAnsi="Arial" w:cs="Arial"/>
          <w:szCs w:val="24"/>
        </w:rPr>
        <w:t>.</w:t>
      </w:r>
    </w:p>
    <w:p w:rsidR="003D5B17" w:rsidRDefault="003D5B17" w:rsidP="003D5B17">
      <w:pPr>
        <w:ind w:firstLine="603"/>
        <w:jc w:val="both"/>
        <w:textAlignment w:val="baseline"/>
        <w:rPr>
          <w:rFonts w:ascii="Arial" w:hAnsi="Arial" w:cs="Arial"/>
          <w:szCs w:val="24"/>
        </w:rPr>
      </w:pPr>
    </w:p>
    <w:p w:rsidR="00E36FE2" w:rsidRPr="00E36FE2" w:rsidRDefault="00E36FE2" w:rsidP="00E36FE2">
      <w:pPr>
        <w:ind w:firstLine="34"/>
        <w:jc w:val="center"/>
        <w:rPr>
          <w:rFonts w:ascii="Arial" w:hAnsi="Arial" w:cs="Arial"/>
          <w:color w:val="FF0000"/>
          <w:szCs w:val="24"/>
        </w:rPr>
      </w:pPr>
      <w:r w:rsidRPr="00E36FE2">
        <w:rPr>
          <w:rFonts w:ascii="Arial" w:hAnsi="Arial" w:cs="Arial"/>
          <w:szCs w:val="24"/>
        </w:rPr>
        <w:object w:dxaOrig="14790" w:dyaOrig="50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82.4pt;height:163.2pt" o:ole="">
            <v:imagedata r:id="rId13" o:title=""/>
          </v:shape>
          <o:OLEObject Type="Embed" ProgID="PBrush" ShapeID="_x0000_i1025" DrawAspect="Content" ObjectID="_1805448069" r:id="rId14"/>
        </w:object>
      </w:r>
    </w:p>
    <w:sdt>
      <w:sdtPr>
        <w:rPr>
          <w:rFonts w:ascii="Arial" w:hAnsi="Arial" w:cs="Arial"/>
          <w:i/>
          <w:szCs w:val="24"/>
        </w:rPr>
        <w:tag w:val="goog_rdk_543"/>
        <w:id w:val="-1298224578"/>
      </w:sdtPr>
      <w:sdtContent>
        <w:p w:rsidR="00E36FE2" w:rsidRPr="00E36FE2" w:rsidRDefault="00E36FE2" w:rsidP="00E36FE2">
          <w:pPr>
            <w:spacing w:line="360" w:lineRule="auto"/>
            <w:ind w:firstLine="720"/>
            <w:jc w:val="center"/>
            <w:rPr>
              <w:rFonts w:ascii="Arial" w:hAnsi="Arial" w:cs="Arial"/>
              <w:i/>
              <w:szCs w:val="24"/>
            </w:rPr>
          </w:pPr>
          <w:r w:rsidRPr="00E36FE2">
            <w:rPr>
              <w:rFonts w:ascii="Arial" w:hAnsi="Arial" w:cs="Arial"/>
              <w:i/>
              <w:szCs w:val="24"/>
            </w:rPr>
            <w:t>2 pav. Jiezno gimnazijos metinių veiklos plano priemonių įgyvendinimas</w:t>
          </w:r>
        </w:p>
      </w:sdtContent>
    </w:sdt>
    <w:p w:rsidR="00E36FE2" w:rsidRPr="00E36FE2" w:rsidRDefault="00E36FE2" w:rsidP="00E36FE2">
      <w:pPr>
        <w:tabs>
          <w:tab w:val="left" w:pos="462"/>
        </w:tabs>
        <w:jc w:val="both"/>
        <w:rPr>
          <w:rFonts w:ascii="Arial" w:hAnsi="Arial" w:cs="Arial"/>
          <w:szCs w:val="24"/>
          <w:lang w:eastAsia="lt-LT"/>
        </w:rPr>
      </w:pPr>
      <w:r w:rsidRPr="00E36FE2">
        <w:rPr>
          <w:rFonts w:ascii="Arial" w:hAnsi="Arial" w:cs="Arial"/>
          <w:szCs w:val="24"/>
          <w:lang w:eastAsia="lt-LT"/>
        </w:rPr>
        <w:t xml:space="preserve">          </w:t>
      </w:r>
    </w:p>
    <w:p w:rsidR="00E36FE2" w:rsidRPr="00E36FE2" w:rsidRDefault="00E36FE2" w:rsidP="003D5B17">
      <w:pPr>
        <w:ind w:firstLine="567"/>
        <w:rPr>
          <w:rFonts w:ascii="Arial" w:hAnsi="Arial" w:cs="Arial"/>
          <w:b/>
          <w:szCs w:val="24"/>
          <w:lang w:eastAsia="lt-LT"/>
        </w:rPr>
      </w:pPr>
      <w:r w:rsidRPr="00E36FE2">
        <w:rPr>
          <w:rFonts w:ascii="Arial" w:hAnsi="Arial" w:cs="Arial"/>
          <w:szCs w:val="24"/>
          <w:lang w:eastAsia="lt-LT"/>
        </w:rPr>
        <w:t>Abiejų tikslų išsikeltų uždavinių sėkmingumas ir priemonių kokybė bei veiksmingumas buvo matuojamas, kaip ir kasmet, atliekant tarpinę analizę Mokytojų tarybos posėdyje 2022 m. sausio 17 d. (įvertinta pakankamai gerai), o galutinė analizė bus atlikta Mokytojų tarybos ir Gimnazijos tarybos posėdžiuose 2023 m. birželio mėn.</w:t>
      </w:r>
    </w:p>
    <w:p w:rsidR="00E36FE2" w:rsidRDefault="00E36FE2">
      <w:pPr>
        <w:jc w:val="center"/>
        <w:rPr>
          <w:rFonts w:ascii="Arial" w:hAnsi="Arial"/>
          <w:b/>
          <w:szCs w:val="24"/>
          <w:lang w:eastAsia="lt-LT"/>
        </w:rPr>
      </w:pPr>
    </w:p>
    <w:p w:rsidR="00E36FE2" w:rsidRDefault="00E36FE2">
      <w:pPr>
        <w:jc w:val="center"/>
        <w:rPr>
          <w:rFonts w:ascii="Arial" w:hAnsi="Arial"/>
          <w:b/>
          <w:szCs w:val="24"/>
          <w:lang w:eastAsia="lt-LT"/>
        </w:rPr>
      </w:pPr>
    </w:p>
    <w:p w:rsidR="007E6EC0" w:rsidRDefault="007E6EC0" w:rsidP="007E6EC0">
      <w:pPr>
        <w:widowControl w:val="0"/>
        <w:jc w:val="center"/>
        <w:textAlignment w:val="baseline"/>
        <w:rPr>
          <w:rFonts w:ascii="Arial" w:hAnsi="Arial"/>
          <w:szCs w:val="24"/>
          <w:lang w:eastAsia="lt-LT"/>
        </w:rPr>
      </w:pPr>
      <w:r>
        <w:rPr>
          <w:rFonts w:ascii="Arial" w:hAnsi="Arial"/>
          <w:szCs w:val="24"/>
          <w:lang w:eastAsia="lt-LT"/>
        </w:rPr>
        <w:t>_______________________</w:t>
      </w:r>
    </w:p>
    <w:p w:rsidR="007E6EC0" w:rsidRPr="007E6EC0" w:rsidRDefault="007E6EC0" w:rsidP="007E6EC0">
      <w:pPr>
        <w:widowControl w:val="0"/>
        <w:jc w:val="center"/>
        <w:textAlignment w:val="baseline"/>
        <w:rPr>
          <w:rFonts w:ascii="Arial" w:hAnsi="Arial"/>
          <w:szCs w:val="24"/>
          <w:lang w:eastAsia="lt-LT"/>
        </w:rPr>
      </w:pPr>
    </w:p>
    <w:p w:rsidR="007E6EC0" w:rsidRDefault="007E6EC0">
      <w:pPr>
        <w:jc w:val="center"/>
        <w:rPr>
          <w:rFonts w:ascii="Arial" w:hAnsi="Arial"/>
          <w:b/>
          <w:szCs w:val="24"/>
          <w:lang w:eastAsia="lt-LT"/>
        </w:rPr>
      </w:pPr>
      <w:bookmarkStart w:id="0" w:name="_GoBack"/>
      <w:bookmarkEnd w:id="0"/>
    </w:p>
    <w:sectPr w:rsidR="007E6EC0" w:rsidSect="00D04831">
      <w:headerReference w:type="default" r:id="rId15"/>
      <w:footerReference w:type="default" r:id="rId16"/>
      <w:headerReference w:type="first" r:id="rId17"/>
      <w:footerReference w:type="first" r:id="rId18"/>
      <w:pgSz w:w="11906" w:h="16838"/>
      <w:pgMar w:top="1138" w:right="562" w:bottom="993" w:left="1699" w:header="288" w:footer="720" w:gutter="0"/>
      <w:pgNumType w:start="1"/>
      <w:cols w:space="1296"/>
      <w:formProt w:val="0"/>
      <w:titlePg/>
      <w:docGrid w:linePitch="10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13D1B" w:rsidRDefault="00A13D1B">
      <w:r>
        <w:separator/>
      </w:r>
    </w:p>
  </w:endnote>
  <w:endnote w:type="continuationSeparator" w:id="0">
    <w:p w:rsidR="00A13D1B" w:rsidRDefault="00A13D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BA"/>
    <w:family w:val="swiss"/>
    <w:pitch w:val="variable"/>
    <w:sig w:usb0="E4002EFF" w:usb1="C000247B" w:usb2="00000009" w:usb3="00000000" w:csb0="000001FF" w:csb1="00000000"/>
  </w:font>
  <w:font w:name="Calibri">
    <w:panose1 w:val="020F05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Mangal">
    <w:altName w:val="Courier New"/>
    <w:panose1 w:val="00000400000000000000"/>
    <w:charset w:val="01"/>
    <w:family w:val="roman"/>
    <w:pitch w:val="variable"/>
    <w:sig w:usb0="00002000" w:usb1="00000000" w:usb2="00000000" w:usb3="00000000" w:csb0="00000000" w:csb1="00000000"/>
  </w:font>
  <w:font w:name="Arial">
    <w:panose1 w:val="020B0604020202020204"/>
    <w:charset w:val="BA"/>
    <w:family w:val="swiss"/>
    <w:pitch w:val="variable"/>
    <w:sig w:usb0="E0002EFF" w:usb1="C000785B" w:usb2="00000009" w:usb3="00000000" w:csb0="000001FF" w:csb1="00000000"/>
  </w:font>
  <w:font w:name="HelveticaLT">
    <w:altName w:val="Times New Roman"/>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F67F7" w:rsidRDefault="003F67F7">
    <w:pPr>
      <w:tabs>
        <w:tab w:val="center" w:pos="4153"/>
        <w:tab w:val="right" w:pos="8306"/>
      </w:tabs>
      <w:ind w:right="360"/>
      <w:textAlignment w:val="baseline"/>
      <w:rPr>
        <w:rFonts w:ascii="HelveticaLT" w:hAnsi="HelveticaLT"/>
        <w:sz w:val="20"/>
        <w:lang w:val="en-GB"/>
      </w:rPr>
    </w:pPr>
  </w:p>
  <w:p w:rsidR="003F67F7" w:rsidRDefault="003F67F7">
    <w:pPr>
      <w:tabs>
        <w:tab w:val="center" w:pos="4153"/>
        <w:tab w:val="right" w:pos="8306"/>
      </w:tabs>
      <w:ind w:right="360"/>
      <w:textAlignment w:val="baseline"/>
      <w:rPr>
        <w:rFonts w:ascii="HelveticaLT" w:hAnsi="HelveticaLT"/>
        <w:sz w:val="20"/>
        <w:lang w:val="en-GB"/>
      </w:rP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F67F7" w:rsidRDefault="003F67F7">
    <w:pPr>
      <w:tabs>
        <w:tab w:val="center" w:pos="4153"/>
        <w:tab w:val="right" w:pos="8306"/>
      </w:tabs>
      <w:textAlignment w:val="baseline"/>
      <w:rPr>
        <w:rFonts w:ascii="HelveticaLT" w:hAnsi="HelveticaLT"/>
        <w:sz w:val="20"/>
        <w:lang w:val="en-GB"/>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13D1B" w:rsidRDefault="00A13D1B">
      <w:r>
        <w:separator/>
      </w:r>
    </w:p>
  </w:footnote>
  <w:footnote w:type="continuationSeparator" w:id="0">
    <w:p w:rsidR="00A13D1B" w:rsidRDefault="00A13D1B">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F67F7" w:rsidRDefault="003F67F7">
    <w:pPr>
      <w:tabs>
        <w:tab w:val="center" w:pos="4680"/>
        <w:tab w:val="right" w:pos="9360"/>
      </w:tabs>
      <w:jc w:val="center"/>
      <w:rPr>
        <w:sz w:val="22"/>
        <w:szCs w:val="22"/>
        <w:lang w:eastAsia="lt-LT"/>
      </w:rPr>
    </w:pPr>
    <w:r>
      <w:rPr>
        <w:sz w:val="22"/>
        <w:szCs w:val="22"/>
        <w:lang w:eastAsia="lt-LT"/>
      </w:rPr>
      <w:fldChar w:fldCharType="begin"/>
    </w:r>
    <w:r>
      <w:rPr>
        <w:sz w:val="22"/>
        <w:szCs w:val="22"/>
        <w:lang w:eastAsia="lt-LT"/>
      </w:rPr>
      <w:instrText>PAGE</w:instrText>
    </w:r>
    <w:r>
      <w:rPr>
        <w:sz w:val="22"/>
        <w:szCs w:val="22"/>
        <w:lang w:eastAsia="lt-LT"/>
      </w:rPr>
      <w:fldChar w:fldCharType="separate"/>
    </w:r>
    <w:r w:rsidR="003D5B17">
      <w:rPr>
        <w:noProof/>
        <w:sz w:val="22"/>
        <w:szCs w:val="22"/>
        <w:lang w:eastAsia="lt-LT"/>
      </w:rPr>
      <w:t>3</w:t>
    </w:r>
    <w:r>
      <w:rPr>
        <w:sz w:val="22"/>
        <w:szCs w:val="22"/>
        <w:lang w:eastAsia="lt-LT"/>
      </w:rPr>
      <w:fldChar w:fldCharType="end"/>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F67F7" w:rsidRDefault="003F67F7">
    <w:pPr>
      <w:tabs>
        <w:tab w:val="center" w:pos="4680"/>
        <w:tab w:val="right" w:pos="9360"/>
      </w:tabs>
      <w:rPr>
        <w:sz w:val="22"/>
        <w:szCs w:val="22"/>
        <w:lang w:eastAsia="lt-LT"/>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EC723C"/>
    <w:multiLevelType w:val="multilevel"/>
    <w:tmpl w:val="8A0ED8AC"/>
    <w:lvl w:ilvl="0">
      <w:start w:val="2023"/>
      <w:numFmt w:val="bullet"/>
      <w:lvlText w:val="-"/>
      <w:lvlJc w:val="left"/>
      <w:pPr>
        <w:tabs>
          <w:tab w:val="num" w:pos="0"/>
        </w:tabs>
        <w:ind w:left="720" w:hanging="360"/>
      </w:pPr>
      <w:rPr>
        <w:rFonts w:ascii="Times New Roman"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 w15:restartNumberingAfterBreak="0">
    <w:nsid w:val="639A4F75"/>
    <w:multiLevelType w:val="hybridMultilevel"/>
    <w:tmpl w:val="BB80BA8E"/>
    <w:lvl w:ilvl="0" w:tplc="1260729E">
      <w:start w:val="1"/>
      <w:numFmt w:val="decimal"/>
      <w:lvlText w:val="%1."/>
      <w:lvlJc w:val="left"/>
      <w:pPr>
        <w:ind w:left="963" w:hanging="360"/>
      </w:pPr>
      <w:rPr>
        <w:rFonts w:hint="default"/>
      </w:rPr>
    </w:lvl>
    <w:lvl w:ilvl="1" w:tplc="04270019" w:tentative="1">
      <w:start w:val="1"/>
      <w:numFmt w:val="lowerLetter"/>
      <w:lvlText w:val="%2."/>
      <w:lvlJc w:val="left"/>
      <w:pPr>
        <w:ind w:left="1683" w:hanging="360"/>
      </w:pPr>
    </w:lvl>
    <w:lvl w:ilvl="2" w:tplc="0427001B" w:tentative="1">
      <w:start w:val="1"/>
      <w:numFmt w:val="lowerRoman"/>
      <w:lvlText w:val="%3."/>
      <w:lvlJc w:val="right"/>
      <w:pPr>
        <w:ind w:left="2403" w:hanging="180"/>
      </w:pPr>
    </w:lvl>
    <w:lvl w:ilvl="3" w:tplc="0427000F" w:tentative="1">
      <w:start w:val="1"/>
      <w:numFmt w:val="decimal"/>
      <w:lvlText w:val="%4."/>
      <w:lvlJc w:val="left"/>
      <w:pPr>
        <w:ind w:left="3123" w:hanging="360"/>
      </w:pPr>
    </w:lvl>
    <w:lvl w:ilvl="4" w:tplc="04270019" w:tentative="1">
      <w:start w:val="1"/>
      <w:numFmt w:val="lowerLetter"/>
      <w:lvlText w:val="%5."/>
      <w:lvlJc w:val="left"/>
      <w:pPr>
        <w:ind w:left="3843" w:hanging="360"/>
      </w:pPr>
    </w:lvl>
    <w:lvl w:ilvl="5" w:tplc="0427001B" w:tentative="1">
      <w:start w:val="1"/>
      <w:numFmt w:val="lowerRoman"/>
      <w:lvlText w:val="%6."/>
      <w:lvlJc w:val="right"/>
      <w:pPr>
        <w:ind w:left="4563" w:hanging="180"/>
      </w:pPr>
    </w:lvl>
    <w:lvl w:ilvl="6" w:tplc="0427000F" w:tentative="1">
      <w:start w:val="1"/>
      <w:numFmt w:val="decimal"/>
      <w:lvlText w:val="%7."/>
      <w:lvlJc w:val="left"/>
      <w:pPr>
        <w:ind w:left="5283" w:hanging="360"/>
      </w:pPr>
    </w:lvl>
    <w:lvl w:ilvl="7" w:tplc="04270019" w:tentative="1">
      <w:start w:val="1"/>
      <w:numFmt w:val="lowerLetter"/>
      <w:lvlText w:val="%8."/>
      <w:lvlJc w:val="left"/>
      <w:pPr>
        <w:ind w:left="6003" w:hanging="360"/>
      </w:pPr>
    </w:lvl>
    <w:lvl w:ilvl="8" w:tplc="0427001B" w:tentative="1">
      <w:start w:val="1"/>
      <w:numFmt w:val="lowerRoman"/>
      <w:lvlText w:val="%9."/>
      <w:lvlJc w:val="right"/>
      <w:pPr>
        <w:ind w:left="6723" w:hanging="180"/>
      </w:pPr>
    </w:lvl>
  </w:abstractNum>
  <w:abstractNum w:abstractNumId="2" w15:restartNumberingAfterBreak="0">
    <w:nsid w:val="6DF77B0F"/>
    <w:multiLevelType w:val="multilevel"/>
    <w:tmpl w:val="98E6482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15:restartNumberingAfterBreak="0">
    <w:nsid w:val="766C63BE"/>
    <w:multiLevelType w:val="hybridMultilevel"/>
    <w:tmpl w:val="2496F67E"/>
    <w:lvl w:ilvl="0" w:tplc="CE7C0F6C">
      <w:start w:val="1"/>
      <w:numFmt w:val="decimal"/>
      <w:lvlText w:val="%1."/>
      <w:lvlJc w:val="left"/>
      <w:pPr>
        <w:ind w:left="720" w:hanging="360"/>
      </w:pPr>
      <w:rPr>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1247"/>
  <w:autoHyphenation/>
  <w:hyphenationZone w:val="396"/>
  <w:doNotHyphenateCaps/>
  <w:characterSpacingControl w:val="doNotCompres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6E7A"/>
    <w:rsid w:val="000073B9"/>
    <w:rsid w:val="00013E5B"/>
    <w:rsid w:val="000256B8"/>
    <w:rsid w:val="00032A48"/>
    <w:rsid w:val="000A095F"/>
    <w:rsid w:val="000C6D3A"/>
    <w:rsid w:val="000E11CF"/>
    <w:rsid w:val="0010597C"/>
    <w:rsid w:val="00183B58"/>
    <w:rsid w:val="001C743A"/>
    <w:rsid w:val="0026644F"/>
    <w:rsid w:val="00273D2B"/>
    <w:rsid w:val="00277A27"/>
    <w:rsid w:val="00277E16"/>
    <w:rsid w:val="0038281F"/>
    <w:rsid w:val="003B28AE"/>
    <w:rsid w:val="003D5B17"/>
    <w:rsid w:val="003F67F7"/>
    <w:rsid w:val="00470653"/>
    <w:rsid w:val="004858EF"/>
    <w:rsid w:val="004D0B84"/>
    <w:rsid w:val="004E1C94"/>
    <w:rsid w:val="005340C3"/>
    <w:rsid w:val="005F07CF"/>
    <w:rsid w:val="00654495"/>
    <w:rsid w:val="006B2CEC"/>
    <w:rsid w:val="006D0ACC"/>
    <w:rsid w:val="006E3F51"/>
    <w:rsid w:val="00723396"/>
    <w:rsid w:val="007A5EAF"/>
    <w:rsid w:val="007E6EC0"/>
    <w:rsid w:val="00893C8E"/>
    <w:rsid w:val="008D5AF5"/>
    <w:rsid w:val="009D350C"/>
    <w:rsid w:val="00A13D1B"/>
    <w:rsid w:val="00A55DDC"/>
    <w:rsid w:val="00A64093"/>
    <w:rsid w:val="00A64BE7"/>
    <w:rsid w:val="00A663C1"/>
    <w:rsid w:val="00A90EB5"/>
    <w:rsid w:val="00B11097"/>
    <w:rsid w:val="00B85488"/>
    <w:rsid w:val="00BA1162"/>
    <w:rsid w:val="00BF4CCC"/>
    <w:rsid w:val="00C23FF7"/>
    <w:rsid w:val="00C41462"/>
    <w:rsid w:val="00C90F23"/>
    <w:rsid w:val="00CB2988"/>
    <w:rsid w:val="00CE474D"/>
    <w:rsid w:val="00D04831"/>
    <w:rsid w:val="00DC0E02"/>
    <w:rsid w:val="00DC18B2"/>
    <w:rsid w:val="00DD6E7A"/>
    <w:rsid w:val="00E044EF"/>
    <w:rsid w:val="00E36FE2"/>
    <w:rsid w:val="00ED3342"/>
    <w:rsid w:val="00EF6795"/>
    <w:rsid w:val="00F2125D"/>
    <w:rsid w:val="00F87A54"/>
    <w:rsid w:val="00FD7C4E"/>
  </w:rsids>
  <m:mathPr>
    <m:mathFont m:val="Cambria Math"/>
    <m:brkBin m:val="before"/>
    <m:brkBinSub m:val="--"/>
    <m:smallFrac m:val="0"/>
    <m:dispDef/>
    <m:lMargin m:val="0"/>
    <m:rMargin m:val="0"/>
    <m:defJc m:val="centerGroup"/>
    <m:wrapIndent m:val="1440"/>
    <m:intLim m:val="subSup"/>
    <m:naryLim m:val="undOvr"/>
  </m:mathPr>
  <w:themeFontLang w:val="lt-LT"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A9CB4F"/>
  <w15:docId w15:val="{7E6C84A3-C1AA-4883-BD37-3717B31DFF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lang w:val="lt-LT" w:eastAsia="en-US" w:bidi="ar-SA"/>
      </w:rPr>
    </w:rPrDefault>
    <w:pPrDefault>
      <w:pPr>
        <w:suppressAutoHyphens/>
      </w:pPr>
    </w:pPrDefault>
  </w:docDefaults>
  <w:latentStyles w:defLockedState="0" w:defUIPriority="0" w:defSemiHidden="0" w:defUnhideWhenUsed="0" w:defQFormat="0" w:count="371">
    <w:lsdException w:name="heading 1" w:uiPriority="9"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485C28"/>
    <w:pPr>
      <w:suppressAutoHyphens w:val="0"/>
    </w:pPr>
  </w:style>
  <w:style w:type="paragraph" w:styleId="Antrat1">
    <w:name w:val="heading 1"/>
    <w:basedOn w:val="prastasis"/>
    <w:link w:val="Antrat1Diagrama"/>
    <w:uiPriority w:val="9"/>
    <w:qFormat/>
    <w:rsid w:val="00745460"/>
    <w:pPr>
      <w:spacing w:beforeAutospacing="1" w:afterAutospacing="1"/>
      <w:outlineLvl w:val="0"/>
    </w:pPr>
    <w:rPr>
      <w:b/>
      <w:bCs/>
      <w:kern w:val="2"/>
      <w:sz w:val="48"/>
      <w:szCs w:val="48"/>
      <w:lang w:eastAsia="lt-LT"/>
    </w:rPr>
  </w:style>
  <w:style w:type="paragraph" w:styleId="Antrat2">
    <w:name w:val="heading 2"/>
    <w:basedOn w:val="prastasis"/>
    <w:next w:val="prastasis"/>
    <w:link w:val="Antrat2Diagrama"/>
    <w:qFormat/>
    <w:rsid w:val="00EF0E53"/>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qFormat/>
    <w:rsid w:val="00485C28"/>
    <w:rPr>
      <w:color w:val="808080"/>
    </w:rPr>
  </w:style>
  <w:style w:type="character" w:customStyle="1" w:styleId="AntratsDiagrama">
    <w:name w:val="Antraštės Diagrama"/>
    <w:basedOn w:val="Numatytasispastraiposriftas"/>
    <w:link w:val="Antrats"/>
    <w:uiPriority w:val="99"/>
    <w:qFormat/>
    <w:rsid w:val="00485C28"/>
    <w:rPr>
      <w:rFonts w:asciiTheme="minorHAnsi" w:eastAsiaTheme="minorEastAsia" w:hAnsiTheme="minorHAnsi" w:cstheme="minorBidi"/>
      <w:sz w:val="22"/>
      <w:szCs w:val="22"/>
      <w:lang w:eastAsia="lt-LT"/>
    </w:rPr>
  </w:style>
  <w:style w:type="character" w:styleId="Eilutsnumeris">
    <w:name w:val="line number"/>
    <w:basedOn w:val="Numatytasispastraiposriftas"/>
    <w:semiHidden/>
    <w:unhideWhenUsed/>
    <w:qFormat/>
    <w:rsid w:val="009463EF"/>
  </w:style>
  <w:style w:type="character" w:customStyle="1" w:styleId="Antrat1Diagrama">
    <w:name w:val="Antraštė 1 Diagrama"/>
    <w:basedOn w:val="Numatytasispastraiposriftas"/>
    <w:link w:val="Antrat1"/>
    <w:uiPriority w:val="9"/>
    <w:qFormat/>
    <w:rsid w:val="00745460"/>
    <w:rPr>
      <w:b/>
      <w:bCs/>
      <w:kern w:val="2"/>
      <w:sz w:val="48"/>
      <w:szCs w:val="48"/>
      <w:lang w:eastAsia="lt-LT"/>
    </w:rPr>
  </w:style>
  <w:style w:type="character" w:customStyle="1" w:styleId="Internetosaitas">
    <w:name w:val="Interneto saitas"/>
    <w:basedOn w:val="Numatytasispastraiposriftas"/>
    <w:uiPriority w:val="99"/>
    <w:unhideWhenUsed/>
    <w:rsid w:val="00BC46A2"/>
    <w:rPr>
      <w:color w:val="0563C1" w:themeColor="hyperlink"/>
      <w:u w:val="single"/>
    </w:rPr>
  </w:style>
  <w:style w:type="character" w:customStyle="1" w:styleId="normaltextrun">
    <w:name w:val="normaltextrun"/>
    <w:basedOn w:val="Numatytasispastraiposriftas"/>
    <w:qFormat/>
    <w:rsid w:val="00BC3B1B"/>
  </w:style>
  <w:style w:type="character" w:customStyle="1" w:styleId="eop">
    <w:name w:val="eop"/>
    <w:basedOn w:val="Numatytasispastraiposriftas"/>
    <w:qFormat/>
    <w:rsid w:val="00BC3B1B"/>
  </w:style>
  <w:style w:type="character" w:customStyle="1" w:styleId="spellingerror">
    <w:name w:val="spellingerror"/>
    <w:basedOn w:val="Numatytasispastraiposriftas"/>
    <w:qFormat/>
    <w:rsid w:val="00BC3B1B"/>
  </w:style>
  <w:style w:type="character" w:customStyle="1" w:styleId="findhit">
    <w:name w:val="findhit"/>
    <w:basedOn w:val="Numatytasispastraiposriftas"/>
    <w:qFormat/>
    <w:rsid w:val="000E50E5"/>
  </w:style>
  <w:style w:type="character" w:customStyle="1" w:styleId="Aplankytasinternetosaitas">
    <w:name w:val="Aplankytas interneto saitas"/>
    <w:basedOn w:val="Numatytasispastraiposriftas"/>
    <w:semiHidden/>
    <w:unhideWhenUsed/>
    <w:rsid w:val="001673FB"/>
    <w:rPr>
      <w:color w:val="954F72" w:themeColor="followedHyperlink"/>
      <w:u w:val="single"/>
    </w:rPr>
  </w:style>
  <w:style w:type="character" w:customStyle="1" w:styleId="DebesliotekstasDiagrama">
    <w:name w:val="Debesėlio tekstas Diagrama"/>
    <w:basedOn w:val="Numatytasispastraiposriftas"/>
    <w:link w:val="Debesliotekstas"/>
    <w:semiHidden/>
    <w:qFormat/>
    <w:rsid w:val="009B1EB6"/>
    <w:rPr>
      <w:rFonts w:ascii="Tahoma" w:hAnsi="Tahoma" w:cs="Tahoma"/>
      <w:sz w:val="16"/>
      <w:szCs w:val="16"/>
    </w:rPr>
  </w:style>
  <w:style w:type="character" w:customStyle="1" w:styleId="Iskyrimas">
    <w:name w:val="Išskyrimas"/>
    <w:basedOn w:val="Numatytasispastraiposriftas"/>
    <w:uiPriority w:val="20"/>
    <w:qFormat/>
    <w:rsid w:val="006908FB"/>
    <w:rPr>
      <w:i/>
      <w:iCs/>
    </w:rPr>
  </w:style>
  <w:style w:type="character" w:customStyle="1" w:styleId="scxp79269558">
    <w:name w:val="scxp79269558"/>
    <w:basedOn w:val="Numatytasispastraiposriftas"/>
    <w:qFormat/>
    <w:rsid w:val="008F3C9C"/>
  </w:style>
  <w:style w:type="character" w:customStyle="1" w:styleId="KomentarotekstasDiagrama">
    <w:name w:val="Komentaro tekstas Diagrama"/>
    <w:basedOn w:val="Numatytasispastraiposriftas"/>
    <w:link w:val="Komentarotekstas"/>
    <w:uiPriority w:val="99"/>
    <w:semiHidden/>
    <w:qFormat/>
    <w:rsid w:val="00D05629"/>
    <w:rPr>
      <w:rFonts w:asciiTheme="minorHAnsi" w:eastAsiaTheme="minorHAnsi" w:hAnsiTheme="minorHAnsi" w:cstheme="minorBidi"/>
      <w:sz w:val="20"/>
    </w:rPr>
  </w:style>
  <w:style w:type="character" w:customStyle="1" w:styleId="Antrat2Diagrama">
    <w:name w:val="Antraštė 2 Diagrama"/>
    <w:basedOn w:val="Numatytasispastraiposriftas"/>
    <w:link w:val="Antrat2"/>
    <w:qFormat/>
    <w:rsid w:val="00EF0E53"/>
    <w:rPr>
      <w:rFonts w:asciiTheme="majorHAnsi" w:eastAsiaTheme="majorEastAsia" w:hAnsiTheme="majorHAnsi" w:cstheme="majorBidi"/>
      <w:color w:val="2E74B5" w:themeColor="accent1" w:themeShade="BF"/>
      <w:sz w:val="26"/>
      <w:szCs w:val="26"/>
    </w:rPr>
  </w:style>
  <w:style w:type="character" w:styleId="Grietas">
    <w:name w:val="Strong"/>
    <w:basedOn w:val="Numatytasispastraiposriftas"/>
    <w:uiPriority w:val="22"/>
    <w:qFormat/>
    <w:rsid w:val="000D31C5"/>
    <w:rPr>
      <w:b/>
      <w:bCs/>
    </w:rPr>
  </w:style>
  <w:style w:type="character" w:customStyle="1" w:styleId="AntratDiagrama">
    <w:name w:val="Antraštė Diagrama"/>
    <w:basedOn w:val="Numatytasispastraiposriftas"/>
    <w:link w:val="Antrat"/>
    <w:qFormat/>
    <w:rsid w:val="00B31206"/>
    <w:rPr>
      <w:b/>
      <w:bCs/>
      <w:sz w:val="20"/>
      <w:szCs w:val="24"/>
      <w:lang w:val="en-US"/>
    </w:rPr>
  </w:style>
  <w:style w:type="character" w:customStyle="1" w:styleId="oypena">
    <w:name w:val="oypena"/>
    <w:basedOn w:val="Numatytasispastraiposriftas"/>
    <w:qFormat/>
    <w:rsid w:val="002A37BA"/>
  </w:style>
  <w:style w:type="paragraph" w:styleId="Antrat">
    <w:name w:val="caption"/>
    <w:basedOn w:val="prastasis"/>
    <w:next w:val="Pagrindinistekstas"/>
    <w:link w:val="AntratDiagrama"/>
    <w:qFormat/>
    <w:pPr>
      <w:suppressLineNumbers/>
      <w:spacing w:before="120" w:after="120"/>
    </w:pPr>
    <w:rPr>
      <w:rFonts w:cs="Mangal"/>
      <w:i/>
      <w:iCs/>
      <w:szCs w:val="24"/>
    </w:rPr>
  </w:style>
  <w:style w:type="paragraph" w:styleId="Pagrindinistekstas">
    <w:name w:val="Body Text"/>
    <w:basedOn w:val="prastasis"/>
    <w:pPr>
      <w:spacing w:after="140" w:line="276" w:lineRule="auto"/>
    </w:pPr>
  </w:style>
  <w:style w:type="paragraph" w:styleId="Sraas">
    <w:name w:val="List"/>
    <w:basedOn w:val="Pagrindinistekstas"/>
    <w:rPr>
      <w:rFonts w:cs="Mangal"/>
    </w:rPr>
  </w:style>
  <w:style w:type="paragraph" w:customStyle="1" w:styleId="Rodykl">
    <w:name w:val="Rodyklė"/>
    <w:basedOn w:val="prastasis"/>
    <w:qFormat/>
    <w:pPr>
      <w:suppressLineNumbers/>
    </w:pPr>
    <w:rPr>
      <w:rFonts w:cs="Mangal"/>
    </w:rPr>
  </w:style>
  <w:style w:type="paragraph" w:customStyle="1" w:styleId="Puslapinantratirporat">
    <w:name w:val="Puslapinė antraštė ir poraštė"/>
    <w:basedOn w:val="prastasis"/>
    <w:qFormat/>
  </w:style>
  <w:style w:type="paragraph" w:styleId="Antrats">
    <w:name w:val="header"/>
    <w:basedOn w:val="prastasis"/>
    <w:link w:val="AntratsDiagrama"/>
    <w:uiPriority w:val="99"/>
    <w:unhideWhenUsed/>
    <w:rsid w:val="00485C28"/>
    <w:pPr>
      <w:tabs>
        <w:tab w:val="center" w:pos="4680"/>
        <w:tab w:val="right" w:pos="9360"/>
      </w:tabs>
    </w:pPr>
    <w:rPr>
      <w:rFonts w:asciiTheme="minorHAnsi" w:eastAsiaTheme="minorEastAsia" w:hAnsiTheme="minorHAnsi" w:cstheme="minorBidi"/>
      <w:sz w:val="22"/>
      <w:szCs w:val="22"/>
      <w:lang w:eastAsia="lt-LT"/>
    </w:rPr>
  </w:style>
  <w:style w:type="paragraph" w:styleId="Sraopastraipa">
    <w:name w:val="List Paragraph"/>
    <w:basedOn w:val="prastasis"/>
    <w:uiPriority w:val="34"/>
    <w:qFormat/>
    <w:rsid w:val="00586B08"/>
    <w:pPr>
      <w:ind w:left="720"/>
      <w:contextualSpacing/>
    </w:pPr>
  </w:style>
  <w:style w:type="paragraph" w:customStyle="1" w:styleId="paragraph">
    <w:name w:val="paragraph"/>
    <w:basedOn w:val="prastasis"/>
    <w:qFormat/>
    <w:rsid w:val="00BC3B1B"/>
    <w:pPr>
      <w:spacing w:beforeAutospacing="1" w:afterAutospacing="1"/>
    </w:pPr>
    <w:rPr>
      <w:szCs w:val="24"/>
      <w:lang w:eastAsia="lt-LT"/>
    </w:rPr>
  </w:style>
  <w:style w:type="paragraph" w:styleId="Debesliotekstas">
    <w:name w:val="Balloon Text"/>
    <w:basedOn w:val="prastasis"/>
    <w:link w:val="DebesliotekstasDiagrama"/>
    <w:semiHidden/>
    <w:unhideWhenUsed/>
    <w:qFormat/>
    <w:rsid w:val="009B1EB6"/>
    <w:rPr>
      <w:rFonts w:ascii="Tahoma" w:hAnsi="Tahoma" w:cs="Tahoma"/>
      <w:sz w:val="16"/>
      <w:szCs w:val="16"/>
    </w:rPr>
  </w:style>
  <w:style w:type="paragraph" w:styleId="Komentarotekstas">
    <w:name w:val="annotation text"/>
    <w:basedOn w:val="prastasis"/>
    <w:link w:val="KomentarotekstasDiagrama"/>
    <w:uiPriority w:val="99"/>
    <w:semiHidden/>
    <w:unhideWhenUsed/>
    <w:qFormat/>
    <w:rsid w:val="00D05629"/>
    <w:rPr>
      <w:rFonts w:asciiTheme="minorHAnsi" w:eastAsiaTheme="minorHAnsi" w:hAnsiTheme="minorHAnsi" w:cstheme="minorBidi"/>
      <w:sz w:val="20"/>
    </w:rPr>
  </w:style>
  <w:style w:type="paragraph" w:styleId="prastasiniatinklio">
    <w:name w:val="Normal (Web)"/>
    <w:basedOn w:val="prastasis"/>
    <w:uiPriority w:val="99"/>
    <w:unhideWhenUsed/>
    <w:qFormat/>
    <w:rsid w:val="008269E8"/>
    <w:pPr>
      <w:spacing w:beforeAutospacing="1" w:afterAutospacing="1"/>
    </w:pPr>
    <w:rPr>
      <w:szCs w:val="24"/>
      <w:lang w:eastAsia="lt-LT"/>
    </w:rPr>
  </w:style>
  <w:style w:type="paragraph" w:styleId="Pavadinimas">
    <w:name w:val="Title"/>
    <w:basedOn w:val="prastasis"/>
    <w:qFormat/>
    <w:rsid w:val="00B31206"/>
    <w:pPr>
      <w:suppressAutoHyphens/>
      <w:jc w:val="center"/>
    </w:pPr>
    <w:rPr>
      <w:b/>
      <w:bCs/>
      <w:sz w:val="20"/>
      <w:szCs w:val="24"/>
      <w:lang w:val="en-US"/>
    </w:rPr>
  </w:style>
  <w:style w:type="paragraph" w:customStyle="1" w:styleId="xmsonormal">
    <w:name w:val="x_msonormal"/>
    <w:basedOn w:val="prastasis"/>
    <w:qFormat/>
    <w:rsid w:val="00AB79B2"/>
    <w:pPr>
      <w:spacing w:beforeAutospacing="1" w:afterAutospacing="1"/>
    </w:pPr>
    <w:rPr>
      <w:szCs w:val="24"/>
      <w:lang w:eastAsia="lt-LT"/>
    </w:rPr>
  </w:style>
  <w:style w:type="paragraph" w:styleId="Porat">
    <w:name w:val="footer"/>
    <w:basedOn w:val="Puslapinantratirporat"/>
  </w:style>
  <w:style w:type="table" w:customStyle="1" w:styleId="Lenteldefaultin222">
    <w:name w:val="Lentelė (default'inė)222"/>
    <w:basedOn w:val="prastojilentel"/>
    <w:uiPriority w:val="59"/>
    <w:rsid w:val="00074BFE"/>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entelstinklelis">
    <w:name w:val="Table Grid"/>
    <w:basedOn w:val="prastojilentel"/>
    <w:rsid w:val="00074BF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saitas">
    <w:name w:val="Hyperlink"/>
    <w:basedOn w:val="Numatytasispastraiposriftas"/>
    <w:uiPriority w:val="99"/>
    <w:unhideWhenUsed/>
    <w:rsid w:val="00E36FE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1.png"/><Relationship Id="rId18"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jieznogimnazija.lt/wp-content/uploads/2022/09/Veiklos-planas_2022_2023_galutinis.pdf"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hart" Target="charts/chart1.xm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oleObject" Target="embeddings/oleObject1.bin"/></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darbalapis.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lt-LT"/>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hPercent val="29"/>
      <c:rotY val="20"/>
      <c:depthPercent val="100"/>
      <c:rAngAx val="1"/>
    </c:view3D>
    <c:floor>
      <c:thickness val="0"/>
      <c:spPr>
        <a:solidFill>
          <a:srgbClr val="C0C0C0"/>
        </a:solidFill>
        <a:ln w="3175">
          <a:solidFill>
            <a:srgbClr val="000000"/>
          </a:solidFill>
          <a:prstDash val="solid"/>
        </a:ln>
      </c:spPr>
    </c:floor>
    <c:sideWall>
      <c:thickness val="0"/>
      <c:spPr>
        <a:solidFill>
          <a:srgbClr val="C0C0C0"/>
        </a:solidFill>
        <a:ln w="12700">
          <a:solidFill>
            <a:srgbClr val="808080"/>
          </a:solidFill>
          <a:prstDash val="solid"/>
        </a:ln>
      </c:spPr>
    </c:sideWall>
    <c:backWall>
      <c:thickness val="0"/>
      <c:spPr>
        <a:solidFill>
          <a:srgbClr val="C0C0C0"/>
        </a:solidFill>
        <a:ln w="12700">
          <a:solidFill>
            <a:srgbClr val="808080"/>
          </a:solidFill>
          <a:prstDash val="solid"/>
        </a:ln>
      </c:spPr>
    </c:backWall>
    <c:plotArea>
      <c:layout>
        <c:manualLayout>
          <c:layoutTarget val="inner"/>
          <c:xMode val="edge"/>
          <c:yMode val="edge"/>
          <c:x val="5.8084772370486676E-2"/>
          <c:y val="6.194690265486727E-2"/>
          <c:w val="0.92621664050235442"/>
          <c:h val="0.6548672566371686"/>
        </c:manualLayout>
      </c:layout>
      <c:bar3DChart>
        <c:barDir val="col"/>
        <c:grouping val="clustered"/>
        <c:varyColors val="0"/>
        <c:ser>
          <c:idx val="0"/>
          <c:order val="0"/>
          <c:tx>
            <c:strRef>
              <c:f>Sheet1!$A$2</c:f>
              <c:strCache>
                <c:ptCount val="1"/>
                <c:pt idx="0">
                  <c:v>Ugdytinių skaičius</c:v>
                </c:pt>
              </c:strCache>
            </c:strRef>
          </c:tx>
          <c:spPr>
            <a:solidFill>
              <a:srgbClr val="9999FF"/>
            </a:solidFill>
            <a:ln w="12680">
              <a:solidFill>
                <a:srgbClr val="000000"/>
              </a:solidFill>
              <a:prstDash val="solid"/>
            </a:ln>
          </c:spPr>
          <c:invertIfNegative val="0"/>
          <c:dLbls>
            <c:dLbl>
              <c:idx val="0"/>
              <c:layout>
                <c:manualLayout>
                  <c:x val="-2.000984251968525E-3"/>
                  <c:y val="0.26557981388690061"/>
                </c:manualLayout>
              </c:layout>
              <c:spPr>
                <a:noFill/>
                <a:ln w="25360">
                  <a:noFill/>
                </a:ln>
              </c:spPr>
              <c:txPr>
                <a:bodyPr/>
                <a:lstStyle/>
                <a:p>
                  <a:pPr>
                    <a:defRPr sz="998" b="1" i="0" u="none" strike="noStrike" baseline="0">
                      <a:solidFill>
                        <a:srgbClr val="000000"/>
                      </a:solidFill>
                      <a:latin typeface="Calibri"/>
                      <a:ea typeface="Calibri"/>
                      <a:cs typeface="Calibri"/>
                    </a:defRPr>
                  </a:pPr>
                  <a:endParaRPr lang="lt-LT"/>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E6BA-40A2-A749-684B2BAE45C6}"/>
                </c:ext>
              </c:extLst>
            </c:dLbl>
            <c:dLbl>
              <c:idx val="1"/>
              <c:layout>
                <c:manualLayout>
                  <c:x val="1.7060367454068251E-5"/>
                  <c:y val="0.21752207110474828"/>
                </c:manualLayout>
              </c:layout>
              <c:spPr>
                <a:noFill/>
                <a:ln w="25360">
                  <a:noFill/>
                </a:ln>
              </c:spPr>
              <c:txPr>
                <a:bodyPr/>
                <a:lstStyle/>
                <a:p>
                  <a:pPr>
                    <a:defRPr sz="998" b="1" i="0" u="none" strike="noStrike" baseline="0">
                      <a:solidFill>
                        <a:srgbClr val="000000"/>
                      </a:solidFill>
                      <a:latin typeface="Calibri"/>
                      <a:ea typeface="Calibri"/>
                      <a:cs typeface="Calibri"/>
                    </a:defRPr>
                  </a:pPr>
                  <a:endParaRPr lang="lt-LT"/>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E6BA-40A2-A749-684B2BAE45C6}"/>
                </c:ext>
              </c:extLst>
            </c:dLbl>
            <c:dLbl>
              <c:idx val="2"/>
              <c:layout>
                <c:manualLayout>
                  <c:x val="9.3355188838943029E-4"/>
                  <c:y val="0.19168954184165954"/>
                </c:manualLayout>
              </c:layout>
              <c:spPr>
                <a:noFill/>
                <a:ln w="25360">
                  <a:noFill/>
                </a:ln>
              </c:spPr>
              <c:txPr>
                <a:bodyPr/>
                <a:lstStyle/>
                <a:p>
                  <a:pPr>
                    <a:defRPr sz="998" b="1" i="0" u="none" strike="noStrike" baseline="0">
                      <a:solidFill>
                        <a:srgbClr val="000000"/>
                      </a:solidFill>
                      <a:latin typeface="Calibri"/>
                      <a:ea typeface="Calibri"/>
                      <a:cs typeface="Calibri"/>
                    </a:defRPr>
                  </a:pPr>
                  <a:endParaRPr lang="lt-LT"/>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E6BA-40A2-A749-684B2BAE45C6}"/>
                </c:ext>
              </c:extLst>
            </c:dLbl>
            <c:dLbl>
              <c:idx val="3"/>
              <c:layout>
                <c:manualLayout>
                  <c:x val="-2.1966863517060386E-3"/>
                  <c:y val="0.17952397995705083"/>
                </c:manualLayout>
              </c:layout>
              <c:spPr>
                <a:noFill/>
                <a:ln w="25360">
                  <a:noFill/>
                </a:ln>
              </c:spPr>
              <c:txPr>
                <a:bodyPr/>
                <a:lstStyle/>
                <a:p>
                  <a:pPr>
                    <a:defRPr sz="998" b="1" i="0" u="none" strike="noStrike" baseline="0">
                      <a:solidFill>
                        <a:srgbClr val="000000"/>
                      </a:solidFill>
                      <a:latin typeface="Calibri"/>
                      <a:ea typeface="Calibri"/>
                      <a:cs typeface="Calibri"/>
                    </a:defRPr>
                  </a:pPr>
                  <a:endParaRPr lang="lt-LT"/>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E6BA-40A2-A749-684B2BAE45C6}"/>
                </c:ext>
              </c:extLst>
            </c:dLbl>
            <c:dLbl>
              <c:idx val="4"/>
              <c:layout>
                <c:manualLayout>
                  <c:x val="-2.2619750656168751E-3"/>
                  <c:y val="0.17037660065219121"/>
                </c:manualLayout>
              </c:layout>
              <c:spPr>
                <a:noFill/>
                <a:ln w="25360">
                  <a:noFill/>
                </a:ln>
              </c:spPr>
              <c:txPr>
                <a:bodyPr/>
                <a:lstStyle/>
                <a:p>
                  <a:pPr>
                    <a:defRPr sz="998" b="1" i="0" u="none" strike="noStrike" baseline="0">
                      <a:solidFill>
                        <a:srgbClr val="000000"/>
                      </a:solidFill>
                      <a:latin typeface="Calibri"/>
                      <a:ea typeface="Calibri"/>
                      <a:cs typeface="Calibri"/>
                    </a:defRPr>
                  </a:pPr>
                  <a:endParaRPr lang="lt-LT"/>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E6BA-40A2-A749-684B2BAE45C6}"/>
                </c:ext>
              </c:extLst>
            </c:dLbl>
            <c:dLbl>
              <c:idx val="5"/>
              <c:layout>
                <c:manualLayout>
                  <c:x val="2.6984908136482949E-4"/>
                  <c:y val="0.14765728147617918"/>
                </c:manualLayout>
              </c:layout>
              <c:spPr>
                <a:noFill/>
                <a:ln w="25360">
                  <a:noFill/>
                </a:ln>
              </c:spPr>
              <c:txPr>
                <a:bodyPr/>
                <a:lstStyle/>
                <a:p>
                  <a:pPr>
                    <a:defRPr sz="998" b="1" i="0" u="none" strike="noStrike" baseline="0">
                      <a:solidFill>
                        <a:srgbClr val="000000"/>
                      </a:solidFill>
                      <a:latin typeface="Calibri"/>
                      <a:ea typeface="Calibri"/>
                      <a:cs typeface="Calibri"/>
                    </a:defRPr>
                  </a:pPr>
                  <a:endParaRPr lang="lt-LT"/>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E6BA-40A2-A749-684B2BAE45C6}"/>
                </c:ext>
              </c:extLst>
            </c:dLbl>
            <c:dLbl>
              <c:idx val="6"/>
              <c:layout>
                <c:manualLayout>
                  <c:x val="6.7276073249456707E-4"/>
                  <c:y val="0.13358889815104863"/>
                </c:manualLayout>
              </c:layout>
              <c:spPr>
                <a:noFill/>
                <a:ln w="25360">
                  <a:noFill/>
                </a:ln>
              </c:spPr>
              <c:txPr>
                <a:bodyPr/>
                <a:lstStyle/>
                <a:p>
                  <a:pPr>
                    <a:defRPr sz="998" b="1" i="0" u="none" strike="noStrike" baseline="0">
                      <a:solidFill>
                        <a:srgbClr val="000000"/>
                      </a:solidFill>
                      <a:latin typeface="Calibri"/>
                      <a:ea typeface="Calibri"/>
                      <a:cs typeface="Calibri"/>
                    </a:defRPr>
                  </a:pPr>
                  <a:endParaRPr lang="lt-LT"/>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E6BA-40A2-A749-684B2BAE45C6}"/>
                </c:ext>
              </c:extLst>
            </c:dLbl>
            <c:dLbl>
              <c:idx val="7"/>
              <c:layout>
                <c:manualLayout>
                  <c:x val="6.5288713910761182E-4"/>
                  <c:y val="0.12696134574087331"/>
                </c:manualLayout>
              </c:layout>
              <c:spPr>
                <a:noFill/>
                <a:ln w="25360">
                  <a:noFill/>
                </a:ln>
              </c:spPr>
              <c:txPr>
                <a:bodyPr/>
                <a:lstStyle/>
                <a:p>
                  <a:pPr>
                    <a:defRPr sz="998" b="1" i="0" u="none" strike="noStrike" baseline="0">
                      <a:solidFill>
                        <a:srgbClr val="000000"/>
                      </a:solidFill>
                      <a:latin typeface="Calibri"/>
                      <a:ea typeface="Calibri"/>
                      <a:cs typeface="Calibri"/>
                    </a:defRPr>
                  </a:pPr>
                  <a:endParaRPr lang="lt-LT"/>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E6BA-40A2-A749-684B2BAE45C6}"/>
                </c:ext>
              </c:extLst>
            </c:dLbl>
            <c:dLbl>
              <c:idx val="8"/>
              <c:layout>
                <c:manualLayout>
                  <c:x val="0"/>
                  <c:y val="0.1129943502824858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E6BA-40A2-A749-684B2BAE45C6}"/>
                </c:ext>
              </c:extLst>
            </c:dLbl>
            <c:dLbl>
              <c:idx val="9"/>
              <c:layout>
                <c:manualLayout>
                  <c:x val="-1.5609298891058996E-16"/>
                  <c:y val="0.11341166642773826"/>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E6BA-40A2-A749-684B2BAE45C6}"/>
                </c:ext>
              </c:extLst>
            </c:dLbl>
            <c:spPr>
              <a:noFill/>
              <a:ln w="25360">
                <a:noFill/>
              </a:ln>
            </c:spPr>
            <c:txPr>
              <a:bodyPr wrap="square" lIns="38100" tIns="19050" rIns="38100" bIns="19050" anchor="ctr">
                <a:spAutoFit/>
              </a:bodyPr>
              <a:lstStyle/>
              <a:p>
                <a:pPr>
                  <a:defRPr sz="998" b="1" i="0" u="none" strike="noStrike" baseline="0">
                    <a:solidFill>
                      <a:srgbClr val="000000"/>
                    </a:solidFill>
                    <a:latin typeface="Calibri"/>
                    <a:ea typeface="Calibri"/>
                    <a:cs typeface="Calibri"/>
                  </a:defRPr>
                </a:pPr>
                <a:endParaRPr lang="lt-LT"/>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Sheet1!$B$1:$K$1</c:f>
              <c:numCache>
                <c:formatCode>General</c:formatCode>
                <c:ptCount val="10"/>
                <c:pt idx="0">
                  <c:v>2013</c:v>
                </c:pt>
                <c:pt idx="1">
                  <c:v>2014</c:v>
                </c:pt>
                <c:pt idx="2">
                  <c:v>2015</c:v>
                </c:pt>
                <c:pt idx="3">
                  <c:v>2016</c:v>
                </c:pt>
                <c:pt idx="4">
                  <c:v>2017</c:v>
                </c:pt>
                <c:pt idx="5">
                  <c:v>2018</c:v>
                </c:pt>
                <c:pt idx="6">
                  <c:v>2019</c:v>
                </c:pt>
                <c:pt idx="7">
                  <c:v>2020</c:v>
                </c:pt>
                <c:pt idx="8">
                  <c:v>2021</c:v>
                </c:pt>
                <c:pt idx="9">
                  <c:v>2022</c:v>
                </c:pt>
              </c:numCache>
            </c:numRef>
          </c:cat>
          <c:val>
            <c:numRef>
              <c:f>Sheet1!$B$2:$K$2</c:f>
              <c:numCache>
                <c:formatCode>General</c:formatCode>
                <c:ptCount val="10"/>
                <c:pt idx="0">
                  <c:v>347</c:v>
                </c:pt>
                <c:pt idx="1">
                  <c:v>321</c:v>
                </c:pt>
                <c:pt idx="2">
                  <c:v>312</c:v>
                </c:pt>
                <c:pt idx="3">
                  <c:v>294</c:v>
                </c:pt>
                <c:pt idx="4">
                  <c:v>270</c:v>
                </c:pt>
                <c:pt idx="5">
                  <c:v>248</c:v>
                </c:pt>
                <c:pt idx="6">
                  <c:v>221</c:v>
                </c:pt>
                <c:pt idx="7">
                  <c:v>224</c:v>
                </c:pt>
                <c:pt idx="8">
                  <c:v>224</c:v>
                </c:pt>
                <c:pt idx="9">
                  <c:v>229</c:v>
                </c:pt>
              </c:numCache>
            </c:numRef>
          </c:val>
          <c:extLst>
            <c:ext xmlns:c16="http://schemas.microsoft.com/office/drawing/2014/chart" uri="{C3380CC4-5D6E-409C-BE32-E72D297353CC}">
              <c16:uniqueId val="{0000000A-E6BA-40A2-A749-684B2BAE45C6}"/>
            </c:ext>
          </c:extLst>
        </c:ser>
        <c:dLbls>
          <c:showLegendKey val="0"/>
          <c:showVal val="1"/>
          <c:showCatName val="0"/>
          <c:showSerName val="0"/>
          <c:showPercent val="0"/>
          <c:showBubbleSize val="0"/>
        </c:dLbls>
        <c:gapWidth val="150"/>
        <c:gapDepth val="0"/>
        <c:shape val="box"/>
        <c:axId val="80328576"/>
        <c:axId val="80330112"/>
        <c:axId val="0"/>
      </c:bar3DChart>
      <c:catAx>
        <c:axId val="80328576"/>
        <c:scaling>
          <c:orientation val="minMax"/>
        </c:scaling>
        <c:delete val="0"/>
        <c:axPos val="b"/>
        <c:numFmt formatCode="General" sourceLinked="1"/>
        <c:majorTickMark val="out"/>
        <c:minorTickMark val="none"/>
        <c:tickLblPos val="low"/>
        <c:spPr>
          <a:ln w="3170">
            <a:solidFill>
              <a:srgbClr val="000000"/>
            </a:solidFill>
            <a:prstDash val="solid"/>
          </a:ln>
        </c:spPr>
        <c:txPr>
          <a:bodyPr rot="0" vert="horz"/>
          <a:lstStyle/>
          <a:p>
            <a:pPr>
              <a:defRPr sz="998" b="1" i="0" u="none" strike="noStrike" baseline="0">
                <a:solidFill>
                  <a:srgbClr val="000000"/>
                </a:solidFill>
                <a:latin typeface="Calibri"/>
                <a:ea typeface="Calibri"/>
                <a:cs typeface="Calibri"/>
              </a:defRPr>
            </a:pPr>
            <a:endParaRPr lang="lt-LT"/>
          </a:p>
        </c:txPr>
        <c:crossAx val="80330112"/>
        <c:crosses val="autoZero"/>
        <c:auto val="1"/>
        <c:lblAlgn val="ctr"/>
        <c:lblOffset val="100"/>
        <c:tickLblSkip val="1"/>
        <c:tickMarkSkip val="1"/>
        <c:noMultiLvlLbl val="0"/>
      </c:catAx>
      <c:valAx>
        <c:axId val="80330112"/>
        <c:scaling>
          <c:orientation val="minMax"/>
        </c:scaling>
        <c:delete val="0"/>
        <c:axPos val="l"/>
        <c:majorGridlines>
          <c:spPr>
            <a:ln w="3170">
              <a:solidFill>
                <a:srgbClr val="000000"/>
              </a:solidFill>
              <a:prstDash val="solid"/>
            </a:ln>
          </c:spPr>
        </c:majorGridlines>
        <c:numFmt formatCode="General" sourceLinked="1"/>
        <c:majorTickMark val="out"/>
        <c:minorTickMark val="none"/>
        <c:tickLblPos val="nextTo"/>
        <c:spPr>
          <a:ln w="3170">
            <a:solidFill>
              <a:srgbClr val="000000"/>
            </a:solidFill>
            <a:prstDash val="solid"/>
          </a:ln>
        </c:spPr>
        <c:txPr>
          <a:bodyPr rot="0" vert="horz"/>
          <a:lstStyle/>
          <a:p>
            <a:pPr>
              <a:defRPr sz="998" b="0" i="0" u="none" strike="noStrike" baseline="0">
                <a:solidFill>
                  <a:srgbClr val="000000"/>
                </a:solidFill>
                <a:latin typeface="Calibri"/>
                <a:ea typeface="Calibri"/>
                <a:cs typeface="Calibri"/>
              </a:defRPr>
            </a:pPr>
            <a:endParaRPr lang="lt-LT"/>
          </a:p>
        </c:txPr>
        <c:crossAx val="80328576"/>
        <c:crosses val="autoZero"/>
        <c:crossBetween val="between"/>
      </c:valAx>
      <c:spPr>
        <a:noFill/>
        <a:ln w="25360">
          <a:noFill/>
        </a:ln>
      </c:spPr>
    </c:plotArea>
    <c:legend>
      <c:legendPos val="b"/>
      <c:layout>
        <c:manualLayout>
          <c:xMode val="edge"/>
          <c:yMode val="edge"/>
          <c:x val="0.40816326530612246"/>
          <c:y val="0.88053097345132758"/>
          <c:w val="0.18367346938775511"/>
          <c:h val="0.10619469026548677"/>
        </c:manualLayout>
      </c:layout>
      <c:overlay val="0"/>
      <c:spPr>
        <a:noFill/>
        <a:ln w="3170">
          <a:solidFill>
            <a:srgbClr val="000000"/>
          </a:solidFill>
          <a:prstDash val="solid"/>
        </a:ln>
      </c:spPr>
      <c:txPr>
        <a:bodyPr/>
        <a:lstStyle/>
        <a:p>
          <a:pPr>
            <a:defRPr sz="919" b="1" i="0" u="none" strike="noStrike" baseline="0">
              <a:solidFill>
                <a:srgbClr val="000000"/>
              </a:solidFill>
              <a:latin typeface="Calibri"/>
              <a:ea typeface="Calibri"/>
              <a:cs typeface="Calibri"/>
            </a:defRPr>
          </a:pPr>
          <a:endParaRPr lang="lt-LT"/>
        </a:p>
      </c:txPr>
    </c:legend>
    <c:plotVisOnly val="1"/>
    <c:dispBlanksAs val="gap"/>
    <c:showDLblsOverMax val="0"/>
  </c:chart>
  <c:spPr>
    <a:noFill/>
    <a:ln>
      <a:noFill/>
    </a:ln>
  </c:spPr>
  <c:txPr>
    <a:bodyPr/>
    <a:lstStyle/>
    <a:p>
      <a:pPr>
        <a:defRPr sz="998" b="1" i="0" u="none" strike="noStrike" baseline="0">
          <a:solidFill>
            <a:srgbClr val="000000"/>
          </a:solidFill>
          <a:latin typeface="Calibri"/>
          <a:ea typeface="Calibri"/>
          <a:cs typeface="Calibri"/>
        </a:defRPr>
      </a:pPr>
      <a:endParaRPr lang="lt-LT"/>
    </a:p>
  </c:txPr>
  <c:externalData r:id="rId1">
    <c:autoUpdate val="0"/>
  </c:externalData>
</c:chartSpace>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documentManagement/>
</p:properties>
</file>

<file path=customXml/item2.xml><?xml version="1.0" encoding="utf-8"?>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as" ma:contentTypeID="0x010100D8ECFFBDDA118244861569856C5AC6C3" ma:contentTypeVersion="0" ma:contentTypeDescription="Kurkite naują dokumentą." ma:contentTypeScope="" ma:versionID="e894898859fc6bec26f1b7b2ed962da5">
  <xsd:schema xmlns:xsd="http://www.w3.org/2001/XMLSchema" targetNamespace="http://schemas.microsoft.com/office/2006/metadata/properties" ma:root="true" ma:fieldsID="92f6efcb3d141a2d8cf8d4aae0174d8f">
    <xsd:element name="properties">
      <xsd:complexType>
        <xsd:sequence>
          <xsd:element name="documentManagement">
            <xsd:complexType>
              <xsd:all/>
            </xsd:complexType>
          </xsd:element>
        </xsd:sequence>
      </xsd:complexType>
    </xsd:element>
  </xsd:schema>
  <xsd:schema xmlns:xsd="http://www.w3.org/2001/XMLSchema"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6855D8-6758-4DF6-8BB1-30DD6ABC29E0}">
  <ds:schemaRefs>
    <ds:schemaRef ds:uri="http://schemas.microsoft.com/office/2006/metadata/properties"/>
  </ds:schemaRefs>
</ds:datastoreItem>
</file>

<file path=customXml/itemProps2.xml><?xml version="1.0" encoding="utf-8"?>
<ds:datastoreItem xmlns:ds="http://schemas.openxmlformats.org/officeDocument/2006/customXml" ds:itemID="{81867E2D-F87F-459C-A694-1A731E105548}">
  <ds:schemaRefs>
    <ds:schemaRef ds:uri="http://schemas.microsoft.com/sharepoint/v3/contenttype/forms"/>
  </ds:schemaRefs>
</ds:datastoreItem>
</file>

<file path=customXml/itemProps3.xml><?xml version="1.0" encoding="utf-8"?>
<ds:datastoreItem xmlns:ds="http://schemas.openxmlformats.org/officeDocument/2006/customXml" ds:itemID="{9A313A32-CE2D-4786-8806-205CE85116A8}">
  <ds:schemaRefs>
    <ds:schemaRef ds:uri="http://schemas.microsoft.com/office/2006/metadata/contentType"/>
    <ds:schemaRef ds:uri="http://schemas.microsoft.com/office/2006/metadata/properties/metaAttributes"/>
    <ds:schemaRef ds:uri="http://www.w3.org/2001/XMLSchema"/>
  </ds:schemaRefs>
</ds:datastoreItem>
</file>

<file path=customXml/itemProps4.xml><?xml version="1.0" encoding="utf-8"?>
<ds:datastoreItem xmlns:ds="http://schemas.openxmlformats.org/officeDocument/2006/customXml" ds:itemID="{3A642269-FD31-486D-BDAE-A86DC4BF14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3</Pages>
  <Words>4268</Words>
  <Characters>2433</Characters>
  <Application>Microsoft Office Word</Application>
  <DocSecurity>0</DocSecurity>
  <Lines>20</Lines>
  <Paragraphs>13</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ee03e331-3349-47d8-b590-fc919fc3a878</vt:lpstr>
      <vt:lpstr>ee03e331-3349-47d8-b590-fc919fc3a878</vt:lpstr>
    </vt:vector>
  </TitlesOfParts>
  <Company>VKS</Company>
  <LinksUpToDate>false</LinksUpToDate>
  <CharactersWithSpaces>6688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ee03e331-3349-47d8-b590-fc919fc3a878</dc:title>
  <dc:creator>Razmantienė Audronė</dc:creator>
  <cp:lastModifiedBy>Neringa Zujienė</cp:lastModifiedBy>
  <cp:revision>3</cp:revision>
  <cp:lastPrinted>2022-03-07T10:32:00Z</cp:lastPrinted>
  <dcterms:created xsi:type="dcterms:W3CDTF">2025-04-06T09:27:00Z</dcterms:created>
  <dcterms:modified xsi:type="dcterms:W3CDTF">2025-04-06T09:35:00Z</dcterms:modified>
  <dc:language>lt-LT</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0x010100D8ECFFBDDA118244861569856C5AC6C3</vt:lpwstr>
  </property>
  <property fmtid="{D5CDD505-2E9C-101B-9397-08002B2CF9AE}" pid="3" name="Isakymai">
    <vt:lpwstr>Isakymai</vt:lpwstr>
  </property>
  <property fmtid="{D5CDD505-2E9C-101B-9397-08002B2CF9AE}" pid="4" name="Komentarai">
    <vt:lpwstr>Koreguota vizavimo metu</vt:lpwstr>
  </property>
</Properties>
</file>